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42" w:rsidRDefault="004C4F42" w:rsidP="00081CFA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4 do SIWZ</w:t>
      </w:r>
    </w:p>
    <w:p w:rsidR="004C4F42" w:rsidRPr="009933DA" w:rsidRDefault="004C4F42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4C4F42" w:rsidRDefault="004C4F42" w:rsidP="00081CFA">
      <w:pPr>
        <w:pStyle w:val="BodyText"/>
        <w:rPr>
          <w:b w:val="0"/>
          <w:smallCaps/>
        </w:rPr>
      </w:pPr>
      <w:r>
        <w:rPr>
          <w:b w:val="0"/>
          <w:smallCaps/>
        </w:rPr>
        <w:t xml:space="preserve">OŚWIADCZENIE WYKONAWCY </w:t>
      </w:r>
    </w:p>
    <w:p w:rsidR="004C4F42" w:rsidRDefault="004C4F42" w:rsidP="00081CFA">
      <w:pPr>
        <w:pStyle w:val="BodyText"/>
        <w:rPr>
          <w:b w:val="0"/>
          <w:smallCaps/>
        </w:rPr>
      </w:pPr>
      <w:r>
        <w:rPr>
          <w:b w:val="0"/>
          <w:smallCaps/>
        </w:rPr>
        <w:t xml:space="preserve">o braku podstaw do wykluczenia na podstawie art. 24 ust. 1 </w:t>
      </w:r>
    </w:p>
    <w:p w:rsidR="004C4F42" w:rsidRDefault="004C4F42" w:rsidP="00081CFA">
      <w:pPr>
        <w:pStyle w:val="BodyText"/>
        <w:rPr>
          <w:b w:val="0"/>
          <w:smallCaps/>
        </w:rPr>
      </w:pPr>
      <w:r>
        <w:rPr>
          <w:b w:val="0"/>
          <w:smallCaps/>
        </w:rPr>
        <w:t>USTAWY PRAWO ZAMÓWIEŃ PUBLICZNYCH</w:t>
      </w:r>
      <w:r w:rsidRPr="00081CFA">
        <w:rPr>
          <w:b w:val="0"/>
          <w:smallCaps/>
        </w:rPr>
        <w:t xml:space="preserve"> </w:t>
      </w:r>
    </w:p>
    <w:p w:rsidR="004C4F42" w:rsidRDefault="004C4F42" w:rsidP="00081CFA">
      <w:pPr>
        <w:pStyle w:val="BodyText"/>
        <w:rPr>
          <w:b w:val="0"/>
          <w:smallCaps/>
        </w:rPr>
      </w:pPr>
      <w:r>
        <w:rPr>
          <w:b w:val="0"/>
          <w:smallCaps/>
        </w:rPr>
        <w:t>z postępowania</w:t>
      </w:r>
    </w:p>
    <w:p w:rsidR="004C4F42" w:rsidRDefault="004C4F42" w:rsidP="00081CFA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3"/>
        </w:rPr>
        <w:t>na</w:t>
      </w:r>
      <w:r>
        <w:rPr>
          <w:b/>
          <w:bCs/>
          <w:szCs w:val="22"/>
        </w:rPr>
        <w:t xml:space="preserve"> zorganizowanie i przeprowadzenie szkoleń oraz kursów </w:t>
      </w:r>
    </w:p>
    <w:p w:rsidR="004C4F42" w:rsidRPr="00081CFA" w:rsidRDefault="004C4F42" w:rsidP="00081CFA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081CFA">
        <w:rPr>
          <w:b/>
        </w:rPr>
        <w:t>w ramach projektu systemowego „Chwytaj szansę”</w:t>
      </w:r>
    </w:p>
    <w:p w:rsidR="004C4F42" w:rsidRPr="00F50519" w:rsidRDefault="004C4F42" w:rsidP="00081CFA">
      <w:pPr>
        <w:pStyle w:val="BodyText3"/>
        <w:jc w:val="both"/>
        <w:rPr>
          <w:sz w:val="24"/>
          <w:szCs w:val="24"/>
        </w:rPr>
      </w:pPr>
      <w:r w:rsidRPr="00F50519">
        <w:rPr>
          <w:sz w:val="24"/>
          <w:szCs w:val="24"/>
        </w:rPr>
        <w:t>współfinansowanego przez Unię Europejską ze</w:t>
      </w:r>
      <w:r>
        <w:rPr>
          <w:sz w:val="24"/>
          <w:szCs w:val="24"/>
        </w:rPr>
        <w:t xml:space="preserve"> środków Europejskiego Funduszu </w:t>
      </w:r>
      <w:r w:rsidRPr="00F50519">
        <w:rPr>
          <w:sz w:val="24"/>
          <w:szCs w:val="24"/>
        </w:rPr>
        <w:t>Społecznego w ramach Programu</w:t>
      </w:r>
      <w:r>
        <w:rPr>
          <w:sz w:val="24"/>
          <w:szCs w:val="24"/>
        </w:rPr>
        <w:t xml:space="preserve"> Operacyjnego Kapitał Ludzki Priorytet VII Promocja integracji społecznej, Działanie 7.1 Rozwój i upowszechnienie aktywnej integracji, Poddziałanie  7.1.1 Rozwój i upowszechnianie aktywnej integracji przez ośrodki pomocy społecznej.</w:t>
      </w:r>
    </w:p>
    <w:p w:rsidR="004C4F42" w:rsidRPr="00081CFA" w:rsidRDefault="004C4F42" w:rsidP="00081CFA">
      <w:pPr>
        <w:spacing w:line="360" w:lineRule="auto"/>
        <w:rPr>
          <w:b/>
          <w:bCs/>
        </w:rPr>
      </w:pPr>
      <w:r w:rsidRPr="00081CFA">
        <w:rPr>
          <w:b/>
          <w:bCs/>
        </w:rPr>
        <w:t>Nazwa Wykonawcy: .............................................................................................</w:t>
      </w:r>
    </w:p>
    <w:p w:rsidR="004C4F42" w:rsidRPr="00081CFA" w:rsidRDefault="004C4F42" w:rsidP="00081CFA">
      <w:pPr>
        <w:pStyle w:val="BodyText"/>
        <w:spacing w:line="360" w:lineRule="auto"/>
        <w:jc w:val="left"/>
        <w:rPr>
          <w:b w:val="0"/>
          <w:bCs w:val="0"/>
          <w:sz w:val="24"/>
        </w:rPr>
      </w:pPr>
      <w:r w:rsidRPr="00081CFA">
        <w:rPr>
          <w:sz w:val="24"/>
        </w:rPr>
        <w:t xml:space="preserve">Adres Wykonawcy: </w:t>
      </w:r>
      <w:r w:rsidRPr="00081CFA">
        <w:rPr>
          <w:sz w:val="24"/>
        </w:rPr>
        <w:tab/>
        <w:t>....................................................................................</w:t>
      </w:r>
      <w:r>
        <w:rPr>
          <w:sz w:val="24"/>
        </w:rPr>
        <w:t>.........</w:t>
      </w:r>
    </w:p>
    <w:p w:rsidR="004C4F42" w:rsidRDefault="004C4F42" w:rsidP="00081CFA">
      <w:pPr>
        <w:pStyle w:val="Bezodstpw"/>
        <w:jc w:val="both"/>
        <w:rPr>
          <w:szCs w:val="23"/>
        </w:rPr>
      </w:pPr>
      <w:r>
        <w:t xml:space="preserve">Oświadczam, że wobec wyżej wymienionego Wykonawcy nie zachodzą okoliczności skutkujące wykluczeniem z postępowania określone w art. 24 ust. 1 ustawy z dnia 29 stycznia 2004 r. </w:t>
      </w:r>
      <w:r>
        <w:rPr>
          <w:i/>
        </w:rPr>
        <w:t>Prawo zamówień publicznych</w:t>
      </w:r>
      <w:r>
        <w:t xml:space="preserve"> (Dz. U. z 2010 r. Nr 113, poz.759 z późn. zm.), z</w:t>
      </w:r>
      <w:r>
        <w:rPr>
          <w:szCs w:val="23"/>
        </w:rPr>
        <w:t>godnie z którym z postępowania o udzielenie zamówienia wyklucza się: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</w:t>
      </w:r>
      <w:r>
        <w:rPr>
          <w:szCs w:val="20"/>
        </w:rPr>
        <w:t xml:space="preserve"> </w:t>
      </w:r>
      <w:r>
        <w:rPr>
          <w:szCs w:val="23"/>
        </w:rPr>
        <w:t>w okresie 3 lat przed wszczęciem postępowania, a wartość niezrealizowanego zamówienia wyniosła co najmniej 5% wartości umowy;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2) wykonawców, 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3) 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</w:t>
      </w:r>
      <w:r>
        <w:rPr>
          <w:szCs w:val="20"/>
        </w:rPr>
        <w:t xml:space="preserve"> </w:t>
      </w:r>
      <w:r>
        <w:rPr>
          <w:szCs w:val="23"/>
        </w:rPr>
        <w:t>w zorganizowanej grupie albo związku mających na celu popełnienie przestępstwa lub przestępstwa skarbowego;</w:t>
      </w:r>
    </w:p>
    <w:p w:rsidR="004C4F42" w:rsidRDefault="004C4F42" w:rsidP="00081CFA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9) podmioty zbiorowe, wobec których sąd orzekł zakaz ubiegania się o zamówienia na podstawie przepisów o odpowiedzialności podmiotów zbiorowych za czyny zabronione pod groźbą kary.</w:t>
      </w:r>
    </w:p>
    <w:p w:rsidR="004C4F42" w:rsidRDefault="004C4F42" w:rsidP="00081CFA">
      <w:pPr>
        <w:pStyle w:val="NormalWeb"/>
        <w:spacing w:after="0"/>
        <w:rPr>
          <w:color w:val="000000"/>
        </w:rPr>
      </w:pPr>
      <w:r>
        <w:rPr>
          <w:color w:val="000000"/>
        </w:rPr>
        <w:t>.........................................</w:t>
      </w:r>
    </w:p>
    <w:p w:rsidR="004C4F42" w:rsidRDefault="004C4F42" w:rsidP="00081CFA">
      <w:pPr>
        <w:pStyle w:val="NormalWeb"/>
        <w:spacing w:before="0" w:beforeAutospacing="0" w:after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(miejscowość, data)</w:t>
      </w:r>
    </w:p>
    <w:p w:rsidR="004C4F42" w:rsidRDefault="004C4F42" w:rsidP="00081CFA">
      <w:pPr>
        <w:pStyle w:val="NormalWeb"/>
        <w:spacing w:after="0"/>
        <w:jc w:val="center"/>
        <w:rPr>
          <w:sz w:val="20"/>
        </w:rPr>
      </w:pPr>
      <w:r>
        <w:rPr>
          <w:color w:val="000000"/>
          <w:sz w:val="20"/>
        </w:rPr>
        <w:t xml:space="preserve">                                    ..................................................................................................................... </w:t>
      </w:r>
    </w:p>
    <w:p w:rsidR="004C4F42" w:rsidRDefault="004C4F42" w:rsidP="00081CFA">
      <w:pPr>
        <w:pStyle w:val="NormalWeb"/>
        <w:spacing w:before="0" w:beforeAutospacing="0" w:after="0"/>
        <w:ind w:left="1416"/>
        <w:rPr>
          <w:sz w:val="22"/>
        </w:rPr>
      </w:pPr>
      <w:r>
        <w:rPr>
          <w:sz w:val="22"/>
        </w:rPr>
        <w:t xml:space="preserve"> /podpis, pieczątka Wykonawcy lub upoważnionego przedstawiciela Wykonawcy/</w:t>
      </w:r>
    </w:p>
    <w:sectPr w:rsidR="004C4F42" w:rsidSect="00D44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F42" w:rsidRDefault="004C4F42" w:rsidP="008F0F02">
      <w:r>
        <w:separator/>
      </w:r>
    </w:p>
  </w:endnote>
  <w:endnote w:type="continuationSeparator" w:id="0">
    <w:p w:rsidR="004C4F42" w:rsidRDefault="004C4F42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4C4F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4C4F42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4C4F42" w:rsidRDefault="004C4F42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4C4F42" w:rsidRDefault="004C4F42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4C4F42" w:rsidRPr="00605BED" w:rsidRDefault="004C4F42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4C4F42" w:rsidRPr="00605BED" w:rsidRDefault="004C4F42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4C4F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F42" w:rsidRDefault="004C4F42" w:rsidP="008F0F02">
      <w:r>
        <w:separator/>
      </w:r>
    </w:p>
  </w:footnote>
  <w:footnote w:type="continuationSeparator" w:id="0">
    <w:p w:rsidR="004C4F42" w:rsidRDefault="004C4F42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4C4F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Pr="00714CBE" w:rsidRDefault="004C4F42" w:rsidP="00714CBE">
    <w:pPr>
      <w:pStyle w:val="Header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4C4F42" w:rsidRDefault="004C4F4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4C4F42" w:rsidRDefault="004C4F4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251661824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251656704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251658752;visibility:visible">
          <v:imagedata r:id="rId3" o:title=""/>
        </v:shape>
      </w:pict>
    </w:r>
  </w:p>
  <w:p w:rsidR="004C4F42" w:rsidRPr="00714CBE" w:rsidRDefault="004C4F42">
    <w:pPr>
      <w:pStyle w:val="Header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F42" w:rsidRDefault="004C4F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F02"/>
    <w:rsid w:val="00005578"/>
    <w:rsid w:val="00040B5C"/>
    <w:rsid w:val="00047D0F"/>
    <w:rsid w:val="00055EA4"/>
    <w:rsid w:val="00070FAA"/>
    <w:rsid w:val="00081CF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5AD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3688"/>
    <w:rsid w:val="002144B2"/>
    <w:rsid w:val="0026072F"/>
    <w:rsid w:val="00267C2F"/>
    <w:rsid w:val="002827E6"/>
    <w:rsid w:val="002A436D"/>
    <w:rsid w:val="002A6541"/>
    <w:rsid w:val="002A6BCE"/>
    <w:rsid w:val="002C2DE2"/>
    <w:rsid w:val="002C6437"/>
    <w:rsid w:val="002F0411"/>
    <w:rsid w:val="002F1EFD"/>
    <w:rsid w:val="002F2728"/>
    <w:rsid w:val="002F7BCC"/>
    <w:rsid w:val="0030437D"/>
    <w:rsid w:val="00311C77"/>
    <w:rsid w:val="003306E7"/>
    <w:rsid w:val="00330BED"/>
    <w:rsid w:val="00336FF3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37E5B"/>
    <w:rsid w:val="004476C9"/>
    <w:rsid w:val="004B017C"/>
    <w:rsid w:val="004B1C7E"/>
    <w:rsid w:val="004C4BD5"/>
    <w:rsid w:val="004C4F42"/>
    <w:rsid w:val="004D3F82"/>
    <w:rsid w:val="004E2137"/>
    <w:rsid w:val="004E2EE8"/>
    <w:rsid w:val="0051166B"/>
    <w:rsid w:val="00516254"/>
    <w:rsid w:val="00530F3E"/>
    <w:rsid w:val="00534C7E"/>
    <w:rsid w:val="00535CA7"/>
    <w:rsid w:val="00544CCF"/>
    <w:rsid w:val="00565DA4"/>
    <w:rsid w:val="00593E6D"/>
    <w:rsid w:val="005A1E1A"/>
    <w:rsid w:val="005A78CD"/>
    <w:rsid w:val="005B1C75"/>
    <w:rsid w:val="005B240A"/>
    <w:rsid w:val="005E6ABD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6F46D5"/>
    <w:rsid w:val="00714CBE"/>
    <w:rsid w:val="00760D6A"/>
    <w:rsid w:val="00764457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E51E3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69A"/>
    <w:rsid w:val="00A100DF"/>
    <w:rsid w:val="00A40D20"/>
    <w:rsid w:val="00A56124"/>
    <w:rsid w:val="00A61053"/>
    <w:rsid w:val="00A73ED3"/>
    <w:rsid w:val="00A77DC1"/>
    <w:rsid w:val="00AA3738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5976"/>
    <w:rsid w:val="00CA7290"/>
    <w:rsid w:val="00CB0048"/>
    <w:rsid w:val="00CB0735"/>
    <w:rsid w:val="00D44CD0"/>
    <w:rsid w:val="00D62F7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B09B9"/>
    <w:rsid w:val="00EB272D"/>
    <w:rsid w:val="00EC7E46"/>
    <w:rsid w:val="00ED5CF1"/>
    <w:rsid w:val="00EE5541"/>
    <w:rsid w:val="00EF3CC5"/>
    <w:rsid w:val="00F0209B"/>
    <w:rsid w:val="00F37151"/>
    <w:rsid w:val="00F371A7"/>
    <w:rsid w:val="00F50519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55E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Header">
    <w:name w:val="header"/>
    <w:basedOn w:val="Normal"/>
    <w:link w:val="HeaderChar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rsid w:val="008F0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8F0F0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DB1DF4"/>
    <w:rPr>
      <w:lang w:eastAsia="en-US"/>
    </w:rPr>
  </w:style>
  <w:style w:type="paragraph" w:styleId="ListParagraph">
    <w:name w:val="List Paragraph"/>
    <w:basedOn w:val="Normal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leGrid">
    <w:name w:val="Table Grid"/>
    <w:basedOn w:val="TableNormal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BodyText3">
    <w:name w:val="Body Text 3"/>
    <w:basedOn w:val="Normal"/>
    <w:link w:val="BodyText3Char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055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055EA4"/>
    <w:pPr>
      <w:suppressAutoHyphens w:val="0"/>
      <w:spacing w:before="100" w:beforeAutospacing="1" w:after="119"/>
    </w:pPr>
    <w:rPr>
      <w:rFonts w:eastAsia="Calibri"/>
      <w:lang w:eastAsia="pl-PL"/>
    </w:rPr>
  </w:style>
  <w:style w:type="paragraph" w:customStyle="1" w:styleId="Bezodstpw">
    <w:name w:val="Bez odstępów"/>
    <w:uiPriority w:val="99"/>
    <w:rsid w:val="00081CF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817</Words>
  <Characters>4908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Publiczny</cp:lastModifiedBy>
  <cp:revision>2</cp:revision>
  <cp:lastPrinted>2012-07-17T10:10:00Z</cp:lastPrinted>
  <dcterms:created xsi:type="dcterms:W3CDTF">2012-07-20T11:14:00Z</dcterms:created>
  <dcterms:modified xsi:type="dcterms:W3CDTF">2012-07-20T11:14:00Z</dcterms:modified>
</cp:coreProperties>
</file>