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sz w:val="24"/>
          <w:szCs w:val="24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 xml:space="preserve">Informacja dotycząca przetwarzania danych osobowych w ramach programu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sz w:val="24"/>
          <w:szCs w:val="24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„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  <w:szCs w:val="24"/>
          <w:lang w:eastAsia="pl-PL"/>
        </w:rPr>
        <w:t>Opieka wytchnieniowa” dla Jednostek Samorządu Terytorialnego – edycja 2024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sz w:val="24"/>
          <w:szCs w:val="24"/>
          <w:lang w:eastAsia="pl-PL"/>
        </w:rPr>
      </w:pPr>
      <w:r>
        <w:rPr>
          <w:rFonts w:eastAsia="Times New Roman" w:cs="Calibri Light" w:cstheme="majorHAnsi" w:ascii="Calibri Light" w:hAnsi="Calibri Light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lang w:eastAsia="pl-PL"/>
        </w:rPr>
      </w:pPr>
      <w:r>
        <w:rPr>
          <w:rFonts w:eastAsia="Times New Roman" w:cs="Calibri Light" w:cstheme="majorHAnsi" w:ascii="Calibri Light" w:hAnsi="Calibri Light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Administrator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Gminny Ośrodek Pomocy Społecznej w Rozogach, ul. Wielbarska 2, 12-114 Rozogi, nr. tel. 89 722 69 32, adres e-mail: gops@gopsrozogi.pl (dalej: Administrator).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Cel, czas i podstawa prawna przetwarzania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Administrator przetwarza dane osobowe w celu wypełnienia obowiązków wynikających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 z realizowanego zadania publicznego – programu pod tytułem „Opieka wytchnieniowa dla Jednostek Samorządu Terytorialnego – edycja 2024” skierowanego do członków rodzin lub opiekunów, którzy wymagają wsparcia w postaci doraźnej, czasowej przerwy w sprawowaniu bezpośredniej opieki nad dziećmi z orzeczeniem niepełnosprawności, a także nad osobami posiadającymi orzeczenie o znacznym stopniu niepełnosprawności albo orzeczenie traktowane na równi z orzeczeniem o znacznym stopniu niepełnosprawności.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Podstawą przetwarzania danych osobowych jest art. 6 ust. 1 lit. c, lit. e oraz art. 9 ust. 2 lit. g RODO*.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Podanie wymaganych danych osobowych jest obowiązkowe. Odmowa podania danych osobowych skutkować będzie brakiem możliwości udziału w Programie.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Dokumentacja związana z realizacją Programu przechowywana będzie przez okres 10 lat, licząc od końca roku, w którym zrealizowano Program zgodnie z umową.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Informacja o odbiorcach danych osobowych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Dane osobowe mogą być ujawnianie podmiotom realizującym zadania na rzecz Administratora, takim jak: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dostawcy oprogramowania wyłącznie w celu zapewnienia ich sprawnego działania z zachowaniem zasad ochrony danych osobowych i poufności ich przetwarzania,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operatorzy pocztowi w celu zapewnienia korespondencji,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banki w celu realizacji przelewów,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podmioty publiczne w ramach zawartych porozumień i umów oraz w zakresie obowiązujących przepisów prawa.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>W celach kontroli prawidłowości wykonywania zadania publicznego wszelkie informacje, wyjaśnienia oraz dowody mogące zawierać dane osobowe mogą być udostępnione Wojewodzie Warmińsko – Mazurskiemu lub Ministrowi Rodziny, Pracy i Polityki Społecznej.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sz w:val="20"/>
          <w:szCs w:val="20"/>
          <w:lang w:eastAsia="pl-PL"/>
        </w:rPr>
        <w:t>Przysługujące prawa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Osobom, których dane osobowe są przetwarzane przysługują następujące prawa: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283" w:left="567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dostępu do danych osobowych,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567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sprostowania danych osobowych,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567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usunięcia lub ograniczenia przetwarzania,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567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wniesienia sprzeciwu, w przypadku gdy dane przetwarzane są na podstawie art. 6 ust. 1 lit. e RODO),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567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przenoszenia danych, w przypadku gdy dane przetwarzane są na podstawie udzielonej przez właściciela zgody (art. 6 ust. 1 lit. a RODO).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Osobom, których dane osobowe są przetwarzane przysługuje także prawo wniesienia skargi dotyczącej przetwarzania danych do Prezesa Urzędu Ochrony Danych Osobowych, ul. Stawki 2, 00-193 Warszawa.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W celu skorzystania z powyższych praw prosimy kontaktować się z pracownikami Administratora lub wysłać takie żądanie na wskazane wyżej jego dane kontaktowe.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0"/>
          <w:szCs w:val="20"/>
          <w:lang w:eastAsia="pl-PL"/>
        </w:rPr>
        <w:t>Kontakt z Inspektorem ochrony danych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Times New Roman" w:cs="Calibri Light" w:asciiTheme="majorHAnsi" w:cstheme="majorHAnsi" w:hAnsiTheme="majorHAnsi"/>
          <w:bCs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Administrator wyznaczył inspektora danych osobowych, z którym można kontaktować się za pomocą adresu e-mail:</w:t>
      </w:r>
      <w:r>
        <w:rPr>
          <w:rFonts w:cs="Calibri Light" w:ascii="Calibri Light" w:hAnsi="Calibri Light" w:asciiTheme="majorHAnsi" w:cstheme="majorHAnsi" w:hAnsiTheme="majorHAnsi"/>
          <w:sz w:val="20"/>
          <w:szCs w:val="20"/>
        </w:rPr>
        <w:t xml:space="preserve"> inspektor@gopsrozogi.pl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0"/>
          <w:szCs w:val="20"/>
          <w:lang w:eastAsia="pl-PL"/>
        </w:rPr>
        <w:t xml:space="preserve">lub na podany wyżej adres siedziby. </w:t>
      </w:r>
    </w:p>
    <w:p>
      <w:pPr>
        <w:pStyle w:val="ListParagraph"/>
        <w:spacing w:lineRule="auto" w:line="240" w:before="0" w:after="0"/>
        <w:ind w:hanging="0" w:left="426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 xml:space="preserve"> </w:t>
      </w:r>
    </w:p>
    <w:p>
      <w:pPr>
        <w:pStyle w:val="ListParagraph"/>
        <w:spacing w:lineRule="auto" w:line="240" w:before="0" w:after="0"/>
        <w:ind w:hanging="0" w:left="426"/>
        <w:contextualSpacing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0"/>
          <w:szCs w:val="20"/>
          <w:lang w:eastAsia="pl-PL"/>
        </w:rPr>
      </w:pPr>
      <w:r>
        <w:rPr>
          <w:rFonts w:eastAsia="Times New Roman" w:cs="Calibri Light" w:cstheme="majorHAnsi" w:ascii="Calibri Light" w:hAnsi="Calibri Light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20"/>
          <w:szCs w:val="20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……</w:t>
      </w:r>
      <w:r>
        <w:rPr>
          <w:rFonts w:eastAsia="Times New Roman" w:cs="Calibri Light" w:ascii="Calibri Light" w:hAnsi="Calibri Light" w:asciiTheme="majorHAnsi" w:cstheme="majorHAnsi" w:hAnsiTheme="majorHAnsi"/>
          <w:sz w:val="20"/>
          <w:szCs w:val="20"/>
          <w:lang w:eastAsia="pl-PL"/>
        </w:rPr>
        <w:t>.……..………………....................................................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                                            </w:t>
      </w: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(data i czytelny podpis osoby ubiegającej się o przyznanie usługi, 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>opiekuna prawnego lub członka rodziny/opiekuna osoby niepełnosprawnej)</w:t>
      </w:r>
    </w:p>
    <w:sectPr>
      <w:footerReference w:type="default" r:id="rId2"/>
      <w:type w:val="nextPage"/>
      <w:pgSz w:w="11906" w:h="16838"/>
      <w:pgMar w:left="1134" w:right="991" w:gutter="0" w:header="0" w:top="1418" w:footer="103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Calibri Light" w:hAnsi="Calibri Light" w:eastAsia="Times New Roman" w:cs="Calibri Light" w:asciiTheme="majorHAnsi" w:cstheme="majorHAnsi" w:hAnsiTheme="majorHAnsi"/>
        <w:sz w:val="18"/>
        <w:szCs w:val="18"/>
        <w:lang w:eastAsia="pl-PL"/>
      </w:rPr>
    </w:pPr>
    <w:r>
      <w:rPr>
        <w:rFonts w:eastAsia="Times New Roman" w:cs="Calibri Light" w:ascii="Calibri Light" w:hAnsi="Calibri Light" w:asciiTheme="majorHAnsi" w:cstheme="majorHAnsi" w:hAnsiTheme="majorHAnsi"/>
        <w:sz w:val="18"/>
        <w:szCs w:val="18"/>
        <w:lang w:eastAsia="pl-PL"/>
      </w:rPr>
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  <w:p>
    <w:pPr>
      <w:pStyle w:val="Normal"/>
      <w:spacing w:lineRule="auto" w:line="240" w:before="0" w:after="0"/>
      <w:rPr>
        <w:rFonts w:ascii="Calibri Light" w:hAnsi="Calibri Light" w:eastAsia="Times New Roman" w:cs="Calibri Light" w:asciiTheme="majorHAnsi" w:cstheme="majorHAnsi" w:hAnsiTheme="majorHAnsi"/>
        <w:sz w:val="18"/>
        <w:szCs w:val="18"/>
        <w:lang w:eastAsia="pl-PL"/>
      </w:rPr>
    </w:pPr>
    <w:r>
      <w:rPr>
        <w:rFonts w:eastAsia="Times New Roman" w:cs="Calibri Light" w:ascii="Calibri Light" w:hAnsi="Calibri Light" w:asciiTheme="majorHAnsi" w:cstheme="majorHAnsi" w:hAnsiTheme="majorHAnsi"/>
        <w:sz w:val="18"/>
        <w:szCs w:val="18"/>
        <w:lang w:eastAsia="pl-PL"/>
      </w:rPr>
      <w:t xml:space="preserve">                                                                        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92" w:hanging="432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479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d479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0458b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6d9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76d9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76d92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be3b78"/>
    <w:rPr/>
  </w:style>
  <w:style w:type="character" w:styleId="StopkaZnak" w:customStyle="1">
    <w:name w:val="Stopka Znak"/>
    <w:basedOn w:val="DefaultParagraphFont"/>
    <w:uiPriority w:val="99"/>
    <w:qFormat/>
    <w:rsid w:val="00be3b78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d4790"/>
    <w:pPr>
      <w:spacing w:before="0" w:after="160"/>
      <w:ind w:hanging="0"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76d9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76d92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e3b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e3b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  <lcf76f155ced4ddcb4097134ff3c332f xmlns="320c3f26-b7f9-40e0-8620-729b0cf5d1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6" ma:contentTypeDescription="Utwórz nowy dokument." ma:contentTypeScope="" ma:versionID="34548320b833df9a5a7d526604c7f268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cc4a60cde187a2a4b6e5edb6103c0095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193F0-5AF3-4C65-AC42-EE6904D386B1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2.xml><?xml version="1.0" encoding="utf-8"?>
<ds:datastoreItem xmlns:ds="http://schemas.openxmlformats.org/officeDocument/2006/customXml" ds:itemID="{8F7061A2-DD0C-43ED-95FB-6D1012FE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D6FC3-045B-47DC-916D-45630D37C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LibreOffice/7.6.2.1$Windows_X86_64 LibreOffice_project/56f7684011345957bbf33a7ee678afaf4d2ba333</Application>
  <AppVersion>15.0000</AppVersion>
  <Pages>1</Pages>
  <Words>472</Words>
  <Characters>3157</Characters>
  <CharactersWithSpaces>3715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2021-07-14T08:00:00Z</dcterms:created>
  <dc:creator>Natalia Nowak</dc:creator>
  <dc:description/>
  <dc:language>pl-PL</dc:language>
  <cp:lastModifiedBy/>
  <cp:lastPrinted>2023-03-31T13:01:32Z</cp:lastPrinted>
  <dcterms:modified xsi:type="dcterms:W3CDTF">2023-11-17T14:28:33Z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  <property fmtid="{D5CDD505-2E9C-101B-9397-08002B2CF9AE}" pid="3" name="MediaServiceImageTags">
    <vt:lpwstr/>
  </property>
</Properties>
</file>