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5DB39" w14:textId="77777777" w:rsidR="00FD017F" w:rsidRPr="00457AD8" w:rsidRDefault="00FD017F" w:rsidP="00FD017F">
      <w:pPr>
        <w:suppressAutoHyphens/>
        <w:spacing w:after="0" w:line="276" w:lineRule="auto"/>
        <w:contextualSpacing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</w:pPr>
      <w:r w:rsidRPr="00457AD8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>Plan  działalności CUW</w:t>
      </w:r>
    </w:p>
    <w:p w14:paraId="2067D294" w14:textId="77777777" w:rsidR="00FD017F" w:rsidRPr="00457AD8" w:rsidRDefault="00FD017F" w:rsidP="00FD017F">
      <w:pPr>
        <w:suppressAutoHyphens/>
        <w:spacing w:after="0" w:line="276" w:lineRule="auto"/>
        <w:contextualSpacing/>
        <w:jc w:val="center"/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</w:pPr>
      <w:r w:rsidRPr="00457AD8"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>lista  najważniejszych  celów  i  zadania do realizacji na rok 202</w:t>
      </w:r>
      <w:r>
        <w:rPr>
          <w:rFonts w:ascii="Calibri" w:eastAsia="Times New Roman" w:hAnsi="Calibri" w:cs="Calibri"/>
          <w:b/>
          <w:kern w:val="1"/>
          <w:sz w:val="20"/>
          <w:szCs w:val="20"/>
          <w:lang w:eastAsia="zh-CN"/>
        </w:rPr>
        <w:t>4</w:t>
      </w:r>
    </w:p>
    <w:p w14:paraId="4A064C6F" w14:textId="77777777" w:rsidR="00FD017F" w:rsidRPr="00457AD8" w:rsidRDefault="00FD017F" w:rsidP="00FD017F">
      <w:pPr>
        <w:suppressAutoHyphens/>
        <w:spacing w:after="0" w:line="276" w:lineRule="auto"/>
        <w:contextualSpacing/>
        <w:rPr>
          <w:rFonts w:ascii="Calibri" w:eastAsia="Times New Roman" w:hAnsi="Calibri" w:cs="Calibri"/>
          <w:bCs/>
          <w:kern w:val="1"/>
          <w:sz w:val="18"/>
          <w:szCs w:val="18"/>
          <w:lang w:val="x-none" w:eastAsia="zh-CN"/>
        </w:rPr>
      </w:pPr>
      <w:r w:rsidRPr="00457AD8">
        <w:rPr>
          <w:rFonts w:ascii="Calibri" w:eastAsia="Times New Roman" w:hAnsi="Calibri" w:cs="Calibri"/>
          <w:bCs/>
          <w:kern w:val="1"/>
          <w:sz w:val="18"/>
          <w:szCs w:val="18"/>
          <w:lang w:val="x-none" w:eastAsia="zh-CN"/>
        </w:rPr>
        <w:t>Centrum Usług Wspólnych w Dzierżoniowie</w:t>
      </w:r>
    </w:p>
    <w:p w14:paraId="6EAF21E7" w14:textId="77777777" w:rsidR="00FD017F" w:rsidRPr="00457AD8" w:rsidRDefault="00FD017F" w:rsidP="00FD017F">
      <w:pPr>
        <w:suppressAutoHyphens/>
        <w:spacing w:after="0" w:line="276" w:lineRule="auto"/>
        <w:contextualSpacing/>
        <w:rPr>
          <w:rFonts w:ascii="Calibri" w:eastAsia="Times New Roman" w:hAnsi="Calibri" w:cs="Calibri"/>
          <w:bCs/>
          <w:kern w:val="1"/>
          <w:sz w:val="18"/>
          <w:szCs w:val="18"/>
          <w:lang w:val="x-none" w:eastAsia="zh-CN"/>
        </w:rPr>
      </w:pPr>
    </w:p>
    <w:tbl>
      <w:tblPr>
        <w:tblStyle w:val="Tabela-Siatka1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3402"/>
        <w:gridCol w:w="1843"/>
        <w:gridCol w:w="1843"/>
      </w:tblGrid>
      <w:tr w:rsidR="00FD017F" w:rsidRPr="00270342" w14:paraId="2253188F" w14:textId="77777777" w:rsidTr="00F3277B">
        <w:tc>
          <w:tcPr>
            <w:tcW w:w="562" w:type="dxa"/>
            <w:vAlign w:val="center"/>
          </w:tcPr>
          <w:p w14:paraId="4FB4841E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bookmarkStart w:id="0" w:name="_Hlk47520808"/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127" w:type="dxa"/>
            <w:vAlign w:val="center"/>
          </w:tcPr>
          <w:p w14:paraId="5B3D4DA3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Cele do realizacji</w:t>
            </w:r>
          </w:p>
          <w:p w14:paraId="59D83EC7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4252" w:type="dxa"/>
            <w:vAlign w:val="center"/>
          </w:tcPr>
          <w:p w14:paraId="57ED4CF5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Najważniejsze zadania służące realizacji celu</w:t>
            </w:r>
          </w:p>
        </w:tc>
        <w:tc>
          <w:tcPr>
            <w:tcW w:w="3402" w:type="dxa"/>
            <w:vAlign w:val="center"/>
          </w:tcPr>
          <w:p w14:paraId="45AE25BA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Mierniki określające stopień realizacji zadania</w:t>
            </w:r>
          </w:p>
        </w:tc>
        <w:tc>
          <w:tcPr>
            <w:tcW w:w="1843" w:type="dxa"/>
            <w:vAlign w:val="center"/>
          </w:tcPr>
          <w:p w14:paraId="44EA186D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Planowany termin do osiągnięcia</w:t>
            </w:r>
          </w:p>
        </w:tc>
        <w:tc>
          <w:tcPr>
            <w:tcW w:w="1843" w:type="dxa"/>
            <w:vAlign w:val="center"/>
          </w:tcPr>
          <w:p w14:paraId="63B7EEDA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Osoby / komórki odpowiedzialne</w:t>
            </w:r>
          </w:p>
        </w:tc>
      </w:tr>
      <w:tr w:rsidR="00FD017F" w:rsidRPr="00D968B8" w14:paraId="3DC99AAB" w14:textId="77777777" w:rsidTr="00F3277B">
        <w:tc>
          <w:tcPr>
            <w:tcW w:w="14029" w:type="dxa"/>
            <w:gridSpan w:val="6"/>
            <w:vAlign w:val="center"/>
          </w:tcPr>
          <w:p w14:paraId="68E1E6FC" w14:textId="77777777" w:rsidR="00FD017F" w:rsidRPr="00457AD8" w:rsidRDefault="00FD017F" w:rsidP="00F3277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 xml:space="preserve">Cel strategiczny:  </w:t>
            </w:r>
            <w:r w:rsidRPr="00457AD8">
              <w:rPr>
                <w:rFonts w:ascii="Calibri" w:hAnsi="Calibri" w:cs="Calibri"/>
                <w:b/>
                <w:i/>
                <w:iCs/>
                <w:kern w:val="1"/>
                <w:sz w:val="16"/>
                <w:szCs w:val="16"/>
                <w:lang w:eastAsia="zh-CN"/>
              </w:rPr>
              <w:t>Utrzymanie wysokiego poziomu obsługi jednostek organizacyjnych Gminy Miejskiej</w:t>
            </w: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 xml:space="preserve"> Dzierżoniów</w:t>
            </w:r>
          </w:p>
          <w:p w14:paraId="3D6744DD" w14:textId="77777777" w:rsidR="00FD017F" w:rsidRPr="00457AD8" w:rsidRDefault="00FD017F" w:rsidP="00F3277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</w:p>
        </w:tc>
      </w:tr>
      <w:tr w:rsidR="00FD017F" w:rsidRPr="00D968B8" w14:paraId="4B7C4497" w14:textId="77777777" w:rsidTr="00F3277B">
        <w:trPr>
          <w:trHeight w:val="572"/>
        </w:trPr>
        <w:tc>
          <w:tcPr>
            <w:tcW w:w="562" w:type="dxa"/>
            <w:vMerge w:val="restart"/>
            <w:vAlign w:val="center"/>
          </w:tcPr>
          <w:p w14:paraId="7A3F576D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14:paraId="6B09F179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14:paraId="778198FA" w14:textId="77777777" w:rsidR="00FD017F" w:rsidRPr="00457AD8" w:rsidRDefault="00FD017F" w:rsidP="00F3277B">
            <w:pPr>
              <w:pStyle w:val="Akapitzlist"/>
              <w:tabs>
                <w:tab w:val="left" w:pos="24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14:paraId="41D6AFEC" w14:textId="77777777" w:rsidR="00FD017F" w:rsidRPr="00457AD8" w:rsidRDefault="00FD017F" w:rsidP="00F3277B">
            <w:pPr>
              <w:pStyle w:val="Akapitzlist"/>
              <w:tabs>
                <w:tab w:val="left" w:pos="24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6"/>
                <w:szCs w:val="16"/>
                <w:lang w:val="x-none"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Prawidłowe zarządzanie finansami publicznymi</w:t>
            </w:r>
          </w:p>
        </w:tc>
        <w:tc>
          <w:tcPr>
            <w:tcW w:w="4252" w:type="dxa"/>
            <w:vAlign w:val="center"/>
          </w:tcPr>
          <w:p w14:paraId="6427C95F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Terminowe sporządzanie sprawozdań CUW i JO</w:t>
            </w:r>
          </w:p>
        </w:tc>
        <w:tc>
          <w:tcPr>
            <w:tcW w:w="3402" w:type="dxa"/>
            <w:vAlign w:val="center"/>
          </w:tcPr>
          <w:p w14:paraId="65653D24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Terminowość, brak błędów</w:t>
            </w:r>
          </w:p>
        </w:tc>
        <w:tc>
          <w:tcPr>
            <w:tcW w:w="1843" w:type="dxa"/>
            <w:vAlign w:val="center"/>
          </w:tcPr>
          <w:p w14:paraId="77E7830A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  <w:t>Na bieżąco</w:t>
            </w:r>
          </w:p>
        </w:tc>
        <w:tc>
          <w:tcPr>
            <w:tcW w:w="1843" w:type="dxa"/>
            <w:vMerge w:val="restart"/>
            <w:vAlign w:val="center"/>
          </w:tcPr>
          <w:p w14:paraId="079B053B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</w:p>
          <w:p w14:paraId="61245FCE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  <w:t>Pracownicy księgowi</w:t>
            </w:r>
          </w:p>
        </w:tc>
      </w:tr>
      <w:tr w:rsidR="00FD017F" w:rsidRPr="00D968B8" w14:paraId="17F77FA2" w14:textId="77777777" w:rsidTr="00F3277B">
        <w:trPr>
          <w:trHeight w:val="420"/>
        </w:trPr>
        <w:tc>
          <w:tcPr>
            <w:tcW w:w="562" w:type="dxa"/>
            <w:vMerge/>
            <w:vAlign w:val="center"/>
          </w:tcPr>
          <w:p w14:paraId="79603E20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</w:p>
        </w:tc>
        <w:tc>
          <w:tcPr>
            <w:tcW w:w="2127" w:type="dxa"/>
            <w:vMerge/>
            <w:vAlign w:val="center"/>
          </w:tcPr>
          <w:p w14:paraId="7C3C59B1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</w:p>
        </w:tc>
        <w:tc>
          <w:tcPr>
            <w:tcW w:w="4252" w:type="dxa"/>
            <w:vAlign w:val="center"/>
          </w:tcPr>
          <w:p w14:paraId="3249D61C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Wykonanie planu dochodów i wydatków CUW i JO</w:t>
            </w:r>
          </w:p>
          <w:p w14:paraId="55A7BEEC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14:paraId="1F5439E7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Realizacja planów</w:t>
            </w:r>
          </w:p>
          <w:p w14:paraId="7D3E2868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54A127A6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  <w:t>Na bieżąco</w:t>
            </w:r>
          </w:p>
        </w:tc>
        <w:tc>
          <w:tcPr>
            <w:tcW w:w="1843" w:type="dxa"/>
            <w:vMerge/>
            <w:vAlign w:val="center"/>
          </w:tcPr>
          <w:p w14:paraId="457AED89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</w:p>
        </w:tc>
      </w:tr>
      <w:tr w:rsidR="00FD017F" w:rsidRPr="00D968B8" w14:paraId="76BC8F82" w14:textId="77777777" w:rsidTr="00F3277B">
        <w:trPr>
          <w:trHeight w:val="683"/>
        </w:trPr>
        <w:tc>
          <w:tcPr>
            <w:tcW w:w="562" w:type="dxa"/>
            <w:vMerge w:val="restart"/>
            <w:vAlign w:val="center"/>
          </w:tcPr>
          <w:p w14:paraId="0CE81BAF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14:paraId="3F7AB408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61597E3B" w14:textId="77777777" w:rsidR="00FD017F" w:rsidRPr="00457AD8" w:rsidRDefault="00FD017F" w:rsidP="00F3277B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</w:p>
          <w:p w14:paraId="414C89C8" w14:textId="77777777" w:rsidR="00FD017F" w:rsidRPr="00457AD8" w:rsidRDefault="00FD017F" w:rsidP="00F3277B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Prawidłowe zarządzanie kadrami</w:t>
            </w:r>
            <w:r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 xml:space="preserve"> w JO+CUW</w:t>
            </w:r>
          </w:p>
          <w:p w14:paraId="304E8A29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rPr>
                <w:rFonts w:ascii="Calibri" w:hAnsi="Calibri" w:cs="Calibri"/>
                <w:b/>
                <w:kern w:val="1"/>
                <w:sz w:val="16"/>
                <w:szCs w:val="16"/>
                <w:lang w:val="x-none" w:eastAsia="zh-CN"/>
              </w:rPr>
            </w:pPr>
          </w:p>
          <w:p w14:paraId="50170BD4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rPr>
                <w:rFonts w:ascii="Calibri" w:hAnsi="Calibri" w:cs="Calibri"/>
                <w:b/>
                <w:kern w:val="1"/>
                <w:sz w:val="16"/>
                <w:szCs w:val="16"/>
                <w:lang w:val="x-none" w:eastAsia="zh-CN"/>
              </w:rPr>
            </w:pPr>
          </w:p>
        </w:tc>
        <w:tc>
          <w:tcPr>
            <w:tcW w:w="4252" w:type="dxa"/>
            <w:vAlign w:val="center"/>
          </w:tcPr>
          <w:p w14:paraId="1F2DA20E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Opracowanie JRWA dla CUW</w:t>
            </w:r>
          </w:p>
        </w:tc>
        <w:tc>
          <w:tcPr>
            <w:tcW w:w="3402" w:type="dxa"/>
            <w:vAlign w:val="center"/>
          </w:tcPr>
          <w:p w14:paraId="34AEA4FD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Dokonanie uzgodnień z pracownikiem  Archiwum</w:t>
            </w:r>
          </w:p>
        </w:tc>
        <w:tc>
          <w:tcPr>
            <w:tcW w:w="1843" w:type="dxa"/>
            <w:vAlign w:val="center"/>
          </w:tcPr>
          <w:p w14:paraId="2AFC56B4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202</w:t>
            </w:r>
            <w:r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4 r.</w:t>
            </w:r>
          </w:p>
        </w:tc>
        <w:tc>
          <w:tcPr>
            <w:tcW w:w="1843" w:type="dxa"/>
            <w:vMerge w:val="restart"/>
            <w:vAlign w:val="center"/>
          </w:tcPr>
          <w:p w14:paraId="2D96F43C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14:paraId="13246828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Pracownicy kadr</w:t>
            </w:r>
          </w:p>
        </w:tc>
      </w:tr>
      <w:tr w:rsidR="00FD017F" w:rsidRPr="00D968B8" w14:paraId="0305ED69" w14:textId="77777777" w:rsidTr="00F3277B">
        <w:trPr>
          <w:trHeight w:val="420"/>
        </w:trPr>
        <w:tc>
          <w:tcPr>
            <w:tcW w:w="562" w:type="dxa"/>
            <w:vMerge/>
            <w:vAlign w:val="center"/>
          </w:tcPr>
          <w:p w14:paraId="3ADA6B48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</w:p>
        </w:tc>
        <w:tc>
          <w:tcPr>
            <w:tcW w:w="2127" w:type="dxa"/>
            <w:vMerge/>
            <w:vAlign w:val="center"/>
          </w:tcPr>
          <w:p w14:paraId="68528923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rPr>
                <w:rFonts w:ascii="Calibri" w:hAnsi="Calibri" w:cs="Calibri"/>
                <w:b/>
                <w:kern w:val="1"/>
                <w:sz w:val="16"/>
                <w:szCs w:val="16"/>
                <w:lang w:val="x-none" w:eastAsia="zh-CN"/>
              </w:rPr>
            </w:pPr>
          </w:p>
        </w:tc>
        <w:tc>
          <w:tcPr>
            <w:tcW w:w="4252" w:type="dxa"/>
            <w:vAlign w:val="center"/>
          </w:tcPr>
          <w:p w14:paraId="4163F7B4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Terminowe przeprowadzanie badań lekarskich</w:t>
            </w:r>
            <w:r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 xml:space="preserve"> CUW+JO</w:t>
            </w:r>
          </w:p>
        </w:tc>
        <w:tc>
          <w:tcPr>
            <w:tcW w:w="3402" w:type="dxa"/>
            <w:vAlign w:val="center"/>
          </w:tcPr>
          <w:p w14:paraId="33229520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Terminowość sporządzania w CUW skierowań  na badania dla pracowników JO</w:t>
            </w:r>
          </w:p>
        </w:tc>
        <w:tc>
          <w:tcPr>
            <w:tcW w:w="1843" w:type="dxa"/>
            <w:vAlign w:val="center"/>
          </w:tcPr>
          <w:p w14:paraId="50BFB335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Na bieżąco</w:t>
            </w:r>
          </w:p>
        </w:tc>
        <w:tc>
          <w:tcPr>
            <w:tcW w:w="1843" w:type="dxa"/>
            <w:vMerge/>
            <w:vAlign w:val="center"/>
          </w:tcPr>
          <w:p w14:paraId="654AD623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val="x-none" w:eastAsia="zh-CN"/>
              </w:rPr>
            </w:pPr>
          </w:p>
        </w:tc>
      </w:tr>
      <w:tr w:rsidR="00FD017F" w:rsidRPr="00D968B8" w14:paraId="1EF43594" w14:textId="77777777" w:rsidTr="00F3277B">
        <w:trPr>
          <w:trHeight w:val="921"/>
        </w:trPr>
        <w:tc>
          <w:tcPr>
            <w:tcW w:w="562" w:type="dxa"/>
            <w:vAlign w:val="center"/>
          </w:tcPr>
          <w:p w14:paraId="15718FD1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14:paraId="40A70105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127" w:type="dxa"/>
            <w:vAlign w:val="center"/>
          </w:tcPr>
          <w:p w14:paraId="61DF0138" w14:textId="77777777" w:rsidR="00FD017F" w:rsidRPr="00457AD8" w:rsidRDefault="00FD017F" w:rsidP="00F3277B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Prawidłowe zarządzanie płacami</w:t>
            </w:r>
            <w:r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 xml:space="preserve"> w JO+CUW</w:t>
            </w:r>
          </w:p>
        </w:tc>
        <w:tc>
          <w:tcPr>
            <w:tcW w:w="4252" w:type="dxa"/>
            <w:vAlign w:val="center"/>
          </w:tcPr>
          <w:p w14:paraId="433EAA78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Terminowe regulowanie zobowiązań pracowniczych i wypłata wynagrodzeń</w:t>
            </w:r>
            <w:r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 xml:space="preserve"> CUW+JO</w:t>
            </w:r>
          </w:p>
        </w:tc>
        <w:tc>
          <w:tcPr>
            <w:tcW w:w="3402" w:type="dxa"/>
            <w:vAlign w:val="center"/>
          </w:tcPr>
          <w:p w14:paraId="561E915D" w14:textId="77777777" w:rsidR="00FD017F" w:rsidRPr="00457AD8" w:rsidRDefault="00FD017F" w:rsidP="00F3277B">
            <w:pPr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zh-CN"/>
              </w:rPr>
              <w:t xml:space="preserve">Opracowanie i przekazywanie do JO harmonogramów </w:t>
            </w:r>
            <w:r w:rsidRPr="00457AD8">
              <w:rPr>
                <w:rFonts w:asciiTheme="minorHAnsi" w:hAnsiTheme="minorHAnsi" w:cstheme="minorHAnsi"/>
                <w:sz w:val="16"/>
                <w:szCs w:val="16"/>
              </w:rPr>
              <w:t>/  terminów na dostarczanie dokumentów stanowiących podstawę miesięcznego rozliczenia wynagrodzeń -</w:t>
            </w:r>
          </w:p>
        </w:tc>
        <w:tc>
          <w:tcPr>
            <w:tcW w:w="1843" w:type="dxa"/>
            <w:vAlign w:val="center"/>
          </w:tcPr>
          <w:p w14:paraId="6DBB7978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14:paraId="4C2FE4E2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W styczniu- na cały rok</w:t>
            </w:r>
          </w:p>
          <w:p w14:paraId="646C8858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2B7746E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14:paraId="42FA7F58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Pracownicy płac/ dyrektor CUW</w:t>
            </w:r>
          </w:p>
        </w:tc>
      </w:tr>
      <w:tr w:rsidR="00FD017F" w:rsidRPr="00D968B8" w14:paraId="25196528" w14:textId="77777777" w:rsidTr="00F3277B">
        <w:trPr>
          <w:trHeight w:val="765"/>
        </w:trPr>
        <w:tc>
          <w:tcPr>
            <w:tcW w:w="562" w:type="dxa"/>
            <w:vAlign w:val="center"/>
          </w:tcPr>
          <w:p w14:paraId="19B823BE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127" w:type="dxa"/>
            <w:vAlign w:val="center"/>
          </w:tcPr>
          <w:p w14:paraId="483FF39C" w14:textId="77777777" w:rsidR="00FD017F" w:rsidRPr="00457AD8" w:rsidRDefault="00FD017F" w:rsidP="00F3277B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Usprawnienie zarządzania majątkiem w JO oraz procesem inwentaryzacji</w:t>
            </w:r>
          </w:p>
        </w:tc>
        <w:tc>
          <w:tcPr>
            <w:tcW w:w="4252" w:type="dxa"/>
            <w:vAlign w:val="center"/>
          </w:tcPr>
          <w:p w14:paraId="58717B5E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Opracowanie wytycznych dla JO dotyczących procesu inwentaryzacji (najczęściej pojawiających się błędów, trudności)</w:t>
            </w:r>
          </w:p>
          <w:p w14:paraId="14969ADF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14:paraId="70C008B1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Przygotowanie informacji dot. inwentaryzacji</w:t>
            </w:r>
          </w:p>
          <w:p w14:paraId="121A6A89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1A75C38B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 xml:space="preserve"> 202</w:t>
            </w:r>
            <w:r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4</w:t>
            </w: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r.</w:t>
            </w:r>
          </w:p>
        </w:tc>
        <w:tc>
          <w:tcPr>
            <w:tcW w:w="1843" w:type="dxa"/>
            <w:vAlign w:val="center"/>
          </w:tcPr>
          <w:p w14:paraId="32DB60B2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Przewodniczący komisji inwentaryzacyjnych/ dyrektor CUW</w:t>
            </w:r>
          </w:p>
        </w:tc>
      </w:tr>
      <w:tr w:rsidR="00FD017F" w:rsidRPr="00D968B8" w14:paraId="4A1399EE" w14:textId="77777777" w:rsidTr="00F3277B">
        <w:trPr>
          <w:trHeight w:val="765"/>
        </w:trPr>
        <w:tc>
          <w:tcPr>
            <w:tcW w:w="562" w:type="dxa"/>
            <w:vAlign w:val="center"/>
          </w:tcPr>
          <w:p w14:paraId="5A4A76DD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127" w:type="dxa"/>
            <w:vAlign w:val="center"/>
          </w:tcPr>
          <w:p w14:paraId="75BED320" w14:textId="77777777" w:rsidR="00FD017F" w:rsidRPr="00457AD8" w:rsidRDefault="00FD017F" w:rsidP="00F3277B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/>
                <w:kern w:val="1"/>
                <w:sz w:val="16"/>
                <w:szCs w:val="16"/>
                <w:lang w:eastAsia="zh-CN"/>
              </w:rPr>
              <w:t>Aktualizacja polityk rachunkowości</w:t>
            </w:r>
          </w:p>
        </w:tc>
        <w:tc>
          <w:tcPr>
            <w:tcW w:w="4252" w:type="dxa"/>
            <w:vAlign w:val="center"/>
          </w:tcPr>
          <w:p w14:paraId="34B66079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Aktualizacja danych, dostosowanie do aktualnych przepisów i realizowanych zadań.</w:t>
            </w:r>
          </w:p>
        </w:tc>
        <w:tc>
          <w:tcPr>
            <w:tcW w:w="3402" w:type="dxa"/>
            <w:vAlign w:val="center"/>
          </w:tcPr>
          <w:p w14:paraId="539FC085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W</w:t>
            </w: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ydanie stosownych zarządzeń</w:t>
            </w:r>
          </w:p>
        </w:tc>
        <w:tc>
          <w:tcPr>
            <w:tcW w:w="1843" w:type="dxa"/>
            <w:vAlign w:val="center"/>
          </w:tcPr>
          <w:p w14:paraId="32A9A1DB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Na bieżąco</w:t>
            </w:r>
          </w:p>
        </w:tc>
        <w:tc>
          <w:tcPr>
            <w:tcW w:w="1843" w:type="dxa"/>
            <w:vAlign w:val="center"/>
          </w:tcPr>
          <w:p w14:paraId="30B32BD8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</w:p>
          <w:p w14:paraId="64A5DCC7" w14:textId="77777777" w:rsidR="00FD017F" w:rsidRPr="00457AD8" w:rsidRDefault="00FD017F" w:rsidP="00F3277B">
            <w:pPr>
              <w:suppressAutoHyphens/>
              <w:spacing w:line="276" w:lineRule="auto"/>
              <w:contextualSpacing/>
              <w:jc w:val="both"/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</w:pPr>
            <w:r w:rsidRPr="00457AD8">
              <w:rPr>
                <w:rFonts w:ascii="Calibri" w:hAnsi="Calibri" w:cs="Calibri"/>
                <w:bCs/>
                <w:kern w:val="1"/>
                <w:sz w:val="16"/>
                <w:szCs w:val="16"/>
                <w:lang w:eastAsia="zh-CN"/>
              </w:rPr>
              <w:t>Pracownicy księgowi</w:t>
            </w:r>
          </w:p>
        </w:tc>
      </w:tr>
      <w:bookmarkEnd w:id="0"/>
    </w:tbl>
    <w:p w14:paraId="116E60CB" w14:textId="77777777" w:rsidR="00D0329E" w:rsidRDefault="00D0329E"/>
    <w:sectPr w:rsidR="00D0329E" w:rsidSect="00FD01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7F"/>
    <w:rsid w:val="001549C5"/>
    <w:rsid w:val="001909D2"/>
    <w:rsid w:val="00643176"/>
    <w:rsid w:val="00D0329E"/>
    <w:rsid w:val="00F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F4E6"/>
  <w15:chartTrackingRefBased/>
  <w15:docId w15:val="{80C7CD2D-20BF-476D-9DB1-779A7BF0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7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D01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017F"/>
    <w:pPr>
      <w:ind w:left="720"/>
      <w:contextualSpacing/>
    </w:pPr>
  </w:style>
  <w:style w:type="table" w:styleId="Tabela-Siatka">
    <w:name w:val="Table Grid"/>
    <w:basedOn w:val="Standardowy"/>
    <w:uiPriority w:val="39"/>
    <w:rsid w:val="00FD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 działalności CUW na 2024 rok</dc:title>
  <dc:subject/>
  <dc:creator>Aneta Grzelka</dc:creator>
  <cp:keywords/>
  <dc:description/>
  <cp:lastModifiedBy>Aneta Grzelka</cp:lastModifiedBy>
  <cp:revision>2</cp:revision>
  <dcterms:created xsi:type="dcterms:W3CDTF">2024-03-26T10:04:00Z</dcterms:created>
  <dcterms:modified xsi:type="dcterms:W3CDTF">2024-03-26T10:04:00Z</dcterms:modified>
</cp:coreProperties>
</file>