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383"/>
        <w:gridCol w:w="850"/>
        <w:gridCol w:w="709"/>
        <w:gridCol w:w="992"/>
        <w:gridCol w:w="567"/>
        <w:gridCol w:w="1134"/>
        <w:gridCol w:w="1134"/>
        <w:gridCol w:w="993"/>
        <w:gridCol w:w="1275"/>
        <w:gridCol w:w="1276"/>
      </w:tblGrid>
      <w:tr w:rsidR="00C67AC7" w:rsidRPr="00EA6A2D" w:rsidTr="00346114">
        <w:trPr>
          <w:trHeight w:val="306"/>
        </w:trPr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7AC7" w:rsidRDefault="00C67AC7" w:rsidP="00ED0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D0F8F" w:rsidRPr="00ED0F8F" w:rsidRDefault="00ED0F8F" w:rsidP="00ED0F8F">
            <w:pPr>
              <w:ind w:left="12744"/>
              <w:rPr>
                <w:rFonts w:cs="Times New Roman"/>
                <w:i/>
                <w:sz w:val="18"/>
                <w:szCs w:val="18"/>
              </w:rPr>
            </w:pPr>
            <w:r w:rsidRPr="00ED0F8F">
              <w:rPr>
                <w:rFonts w:cs="Times New Roman"/>
                <w:i/>
                <w:sz w:val="18"/>
                <w:szCs w:val="18"/>
              </w:rPr>
              <w:t>Załącznik nr 1</w:t>
            </w:r>
          </w:p>
          <w:p w:rsidR="00ED0F8F" w:rsidRPr="00ED0F8F" w:rsidRDefault="00ED0F8F" w:rsidP="00ED0F8F">
            <w:pPr>
              <w:rPr>
                <w:i/>
                <w:sz w:val="18"/>
                <w:szCs w:val="18"/>
              </w:rPr>
            </w:pPr>
            <w:r w:rsidRPr="00ED0F8F">
              <w:rPr>
                <w:rFonts w:cs="Times New Roman"/>
                <w:i/>
                <w:sz w:val="18"/>
                <w:szCs w:val="18"/>
              </w:rPr>
              <w:t xml:space="preserve">Nr sprawy: </w:t>
            </w:r>
            <w:r w:rsidR="008E71E6">
              <w:rPr>
                <w:i/>
                <w:sz w:val="18"/>
                <w:szCs w:val="18"/>
              </w:rPr>
              <w:t>ZP-Z.03.2025</w:t>
            </w:r>
          </w:p>
          <w:p w:rsidR="00ED0F8F" w:rsidRPr="00ED0F8F" w:rsidRDefault="00ED0F8F" w:rsidP="00ED0F8F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D0F8F">
              <w:rPr>
                <w:rFonts w:cs="Times New Roman"/>
                <w:b/>
                <w:sz w:val="18"/>
                <w:szCs w:val="18"/>
              </w:rPr>
              <w:t>FORMULARZ OFERTOWY</w:t>
            </w:r>
          </w:p>
          <w:p w:rsidR="00ED0F8F" w:rsidRPr="00ED0F8F" w:rsidRDefault="00ED0F8F" w:rsidP="00ED0F8F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Nazwa Wykonawcy: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ab/>
              <w:t>...................................................................................................................................................................</w:t>
            </w:r>
            <w:r w:rsidRPr="00ED0F8F">
              <w:rPr>
                <w:rFonts w:cs="Times New Roman"/>
                <w:bCs/>
                <w:sz w:val="18"/>
                <w:szCs w:val="18"/>
              </w:rPr>
              <w:t>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Adres Wykonawcy: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ab/>
              <w:t>.................................................................................................................................................................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NIP……………………………………………………</w:t>
            </w:r>
            <w:r>
              <w:rPr>
                <w:rFonts w:eastAsia="Calibri" w:cs="Times New Roman"/>
                <w:bCs/>
                <w:sz w:val="18"/>
                <w:szCs w:val="18"/>
              </w:rPr>
              <w:t>………….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……………… REGON ......................................................................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................................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..........</w:t>
            </w:r>
          </w:p>
          <w:p w:rsidR="00ED0F8F" w:rsidRPr="00ED0F8F" w:rsidRDefault="00ED0F8F" w:rsidP="00ED0F8F">
            <w:pPr>
              <w:spacing w:line="36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0F8F">
              <w:rPr>
                <w:rFonts w:eastAsia="Calibri" w:cs="Times New Roman"/>
                <w:bCs/>
                <w:sz w:val="18"/>
                <w:szCs w:val="18"/>
              </w:rPr>
              <w:t>Nr telefonu: .............................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......................Nr faxu ........</w:t>
            </w:r>
            <w:r>
              <w:rPr>
                <w:rFonts w:eastAsia="Calibri" w:cs="Times New Roman"/>
                <w:bCs/>
                <w:sz w:val="18"/>
                <w:szCs w:val="18"/>
              </w:rPr>
              <w:t>......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 xml:space="preserve">....................................  adres </w:t>
            </w:r>
            <w:proofErr w:type="spellStart"/>
            <w:r w:rsidRPr="00ED0F8F">
              <w:rPr>
                <w:rFonts w:eastAsia="Calibri" w:cs="Times New Roman"/>
                <w:bCs/>
                <w:sz w:val="18"/>
                <w:szCs w:val="18"/>
              </w:rPr>
              <w:t>e΄mail</w:t>
            </w:r>
            <w:proofErr w:type="spellEnd"/>
            <w:r w:rsidRPr="00ED0F8F">
              <w:rPr>
                <w:rFonts w:eastAsia="Calibri" w:cs="Times New Roman"/>
                <w:bCs/>
                <w:sz w:val="18"/>
                <w:szCs w:val="18"/>
              </w:rPr>
              <w:t xml:space="preserve"> …………..………………</w:t>
            </w:r>
            <w:r>
              <w:rPr>
                <w:rFonts w:eastAsia="Calibri" w:cs="Times New Roman"/>
                <w:bCs/>
                <w:sz w:val="18"/>
                <w:szCs w:val="18"/>
              </w:rPr>
              <w:t>…….</w:t>
            </w:r>
            <w:r w:rsidRPr="00ED0F8F">
              <w:rPr>
                <w:rFonts w:eastAsia="Calibri" w:cs="Times New Roman"/>
                <w:bCs/>
                <w:sz w:val="18"/>
                <w:szCs w:val="18"/>
              </w:rPr>
              <w:t>……….</w:t>
            </w:r>
          </w:p>
          <w:p w:rsidR="009C5C69" w:rsidRDefault="00ED0F8F" w:rsidP="00ED0F8F">
            <w:pPr>
              <w:pStyle w:val="Styl1"/>
              <w:spacing w:line="276" w:lineRule="auto"/>
              <w:ind w:firstLine="708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D0F8F">
              <w:rPr>
                <w:rFonts w:asciiTheme="minorHAnsi" w:hAnsiTheme="minorHAnsi"/>
                <w:bCs/>
                <w:sz w:val="18"/>
                <w:szCs w:val="18"/>
                <w:lang w:val="pl-PL"/>
              </w:rPr>
              <w:t xml:space="preserve">Odpowiadając na zaproszenie do składania ofert </w:t>
            </w:r>
            <w:r w:rsidRPr="00ED0F8F">
              <w:rPr>
                <w:rFonts w:asciiTheme="minorHAnsi" w:hAnsiTheme="minorHAnsi"/>
                <w:sz w:val="18"/>
                <w:szCs w:val="18"/>
                <w:lang w:val="pl-PL"/>
              </w:rPr>
              <w:t>w postępowaniu o udzielenie zamówienia o wartości szacunkowej netto nie przekraczającej 130 000 zł, na: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dostawę środków do </w:t>
            </w:r>
            <w:r w:rsidR="009C5C69">
              <w:rPr>
                <w:rFonts w:asciiTheme="minorHAnsi" w:hAnsiTheme="minorHAnsi"/>
                <w:sz w:val="18"/>
                <w:szCs w:val="18"/>
                <w:lang w:val="pl-PL"/>
              </w:rPr>
              <w:t>utrzymania czystości w</w:t>
            </w:r>
          </w:p>
          <w:p w:rsidR="00ED0F8F" w:rsidRPr="00ED0F8F" w:rsidRDefault="00ED0F8F" w:rsidP="00ED0F8F">
            <w:pPr>
              <w:pStyle w:val="Styl1"/>
              <w:spacing w:line="276" w:lineRule="auto"/>
              <w:ind w:firstLine="708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D0F8F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SP ZOZ w Krasnymstawie proponujemy realizację zamówienia na następujących warunkach:</w:t>
            </w:r>
          </w:p>
          <w:p w:rsidR="00162EDA" w:rsidRPr="00EA6A2D" w:rsidRDefault="00162EDA" w:rsidP="00642D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D7373" w:rsidRPr="00EA6A2D" w:rsidTr="005C455F">
        <w:trPr>
          <w:trHeight w:val="30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Zapotrzebowanie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Jednostkowa cena netto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handlowa nr kat.</w:t>
            </w:r>
          </w:p>
        </w:tc>
      </w:tr>
      <w:tr w:rsidR="00C67AC7" w:rsidRPr="00EA6A2D" w:rsidTr="005C455F">
        <w:trPr>
          <w:trHeight w:val="48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Stawka Vat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6A2D" w:rsidRPr="00EA6A2D" w:rsidRDefault="005C455F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jednostkowa</w:t>
            </w:r>
            <w:r w:rsidR="00EA6A2D" w:rsidRPr="00EA6A2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 cena brutto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A2D" w:rsidRPr="00EA6A2D" w:rsidRDefault="00EA6A2D" w:rsidP="00EA6A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63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stosowany do mycia: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- powierzchni sanitarnych takich jak np.: umywalki, bidety , muszle klozetowe,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 xml:space="preserve">-  elementów ze stali nierdzewnej i aluminium. Preparat powinien usuwać  osady z mydła, osady wapienne, tłuste plamy. Pojemność opakowania 5l. Stężenie roztworu nie powinno być mniejsze niż 0,5 %,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0,5 do 1,5. Preparat przeznaczony do codziennego użytku, posiadający  atest PZH HŻ, nie zawierający kwasu siarkowego ani solnego.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A14B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94D" w:rsidRPr="00EA6A2D" w:rsidRDefault="007D694D" w:rsidP="00A14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0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Koncentrat o wzmocnionym działaniu czyszczącym, powinien usuw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ać zabrudzenia typowe dla powierz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chni sanitarnych, kamień, rdzę pozostałości mydła oraz zabrudzenia pochodzenia organicznego. Preparat</w:t>
            </w:r>
            <w:r w:rsidR="007C2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powinien być przeznaczony do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mycia umywalek, muszli klozetowych,, pisuarów, kabin prysznicowych, armatury łazienkowej oraz elementów ze stali nierdzewnej.. N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ie niszczący czyszczonych powierz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chni. Działający antybakteryjnie. Posiadający ate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st PZH,  </w:t>
            </w:r>
            <w:proofErr w:type="spellStart"/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0,5 - 1,5. Pojemność</w:t>
            </w:r>
            <w:r w:rsidR="00642DB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opakowania 0,7- 1l.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67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stosowany  do mycia i wybielania powierzchni sanitarnych takich jak np.: umywalki, bidety , muszle klozetowe i armatury łazienkowe. Preparat przeznaczony do codziennego użytku . Neutralizujący nieprzyjemne zapachy. Usuwający  przebarwienia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wywołane obecnością grzybów, posiadający możliwość stosowania w rozcieńczeniu. Pojemność  opakowania  min. 750 ml. Gęstość roztworu nie powinna być mniejsze niż 1,05- 1,07 g/cm2,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12,5 do 13,5.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 (koncentrat) do mycia powierzchni ponad</w:t>
            </w:r>
            <w:r w:rsidR="00162ED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podłogowych: mebli, okien, drzwi, ścian, płytek ceramicznych, podłóg i in.  Nie pozostawiający smug ani zacieków, usuwający zanieczyszczenia i pozostawiający połysk.  Wartość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7,5 - 8,5. Produkt dopuszczony do stosowania do powierzchni mających kontakt z żywnością oraz  posiadający atest PZH HŻ oraz opinię CZD. Stężenie nie powinno być mniejsze niż 0,5 % Pojemność opakowania 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9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przeznaczony do usuwania uporczywego odoru uryny i innych nieprzyjemnych zapachów.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pozostawiają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cy przyjemny świeży zapach. Odpo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wiedni do stosowania w pomieszczeniach sanitarnych i innych pomieszczeniach użyteczności publicznej.  Pojemność opakowania  min. 0,5 l.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26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Preparat do udrażniania rur i odpływów w postaci granulatu, rozpuszczający zanieczyszczenia stałe, udrażniający zatory w rurach i odpływach kanalizacyjnych. Produkt działający w zimnej wodzie, nie uszkadzający uszczelek połączeń kanalizacyjnych. Preparat zawierający w składzie: wodorotlenek sodu i proszek aluminiowy</w:t>
            </w:r>
            <w:r w:rsidRPr="00EA6A2D">
              <w:rPr>
                <w:rFonts w:ascii="Calibri" w:eastAsia="Times New Roman" w:hAnsi="Calibri" w:cs="Times New Roman"/>
                <w:color w:val="9933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13-14. Wielkość opakowania 450 - 600 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Preparat przeznaczony do mycia powierzchni szklanych szyb i luster, nie pozostawiający smug na mytych powierzchniach. Preparat o właściwościach antyseptycznych.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8,0 -9,0. Pojemność opakowania min. 450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82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Preparat w formie emulsji przeznaczony do czyszczenia różnych rodzajów powierzchni np.: wanny, umywalek, muszli klozetowych, glazury, zlewów , kuchenek gazowych. Usuwający  tłuste zabrudzenia, naloty kamienia wodnego i rdzy .  Pojemność opakowania 450 - 650g. Gęstość 1,3g/cm2, </w:t>
            </w:r>
            <w:proofErr w:type="spellStart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9-10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6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Mydło  w płynie do codziennego mycia rąk, chroniące skórę przed wysuszaniem,  działające  nawilżająco. Pojemność opakowania 5 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26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Emulsja  lub mydło do higienicznego mycia rąk,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zawierająca substancje nawilżające, nadające się do stosowania u osób z alergią. Przebadane dermatologicznie  . Pojemność opakowania 500  ml.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Opakowanie powinno być kompatybilne z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dozownikiem łokciowym o wymiarach 29x8,5x21 typu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Dermados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Preparat w formie pianki do usuwania tłustych, zapieczonych 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zabrudzeń różnego rodzaju 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chni. Stosowany do czyszczenia garnków, piekarników, kuchni gazowych i elektrycznych.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Pojemność opakowania 450- 600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1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Płyn do ręcznego mycia naczyń oraz wszelkich powierzchni i urządzeń kuchennych , skutecznie usuwający tłuszcz i zabrudzenia białkowe. Zawierający pochodne oleju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kokosowego lub inny składnik chroniący skórę rąk przed podrażnieniami. Przebadany dermatologiczn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ie.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5l,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6,5 - 7,5. Gęstość 0,99-1,01g/cm3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11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Preparat do mycia, polerowania i konserwacji narzędzi wykonanych ze stali nierdzewnej, aluminium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stali galwanicznej. Pozwalają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cy na usuniecie zabrudzeń, nadający 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 blask i chroniący narzędzia przed korozją. Pojemność opakowania 450- 500 ml. Wymagana butelka ze spryskiwaczem.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00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do mycia naczyń oraz sprzętu kuchennego w zmywarkach przemysłowych i myjniach gastronomicznych. Preparat powinien być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niskopieniący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 posiadać neutralny zapach w swoim składzie nie powinien zawierać chloru i fo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sforanów, Ph12,5-13,5.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10l.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97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stosowany do płukania i nabłyszczania naczyń w zmywarkach gastronomicznych i przemysłowych. Niepozostawiający smug i zacieków, przeciwdziałający powstawaniu osadów wapiennych. Preparat powinien być niepieniący,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2,5 - 3,5. Pojemność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5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Koncentrat  do codziennego utrzymania czystości i pielęgnacji wszelkich wodoodpornych podłóg, czyszczący i usuwający trudne zabrudzenia, nadający się do mycia ręcznego, jak i maszynowego w automatach i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szorowarkach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Nadający połysk, pozostawiający na mytych powierzchniach cienką warstwę ochronną. Nadający się do stosowania w zakładach przemysłu spożywczego ( kuchniach ). Preparat powinien być  </w:t>
            </w:r>
            <w:proofErr w:type="spellStart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niskopieniących</w:t>
            </w:r>
            <w:proofErr w:type="spellEnd"/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, zawierać emulsję woskową posiadającą właściwości antypoślizgow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e. Posiada atest PZH. Pojemność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opakowania 5L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3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Pł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yn do odkamieniania 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zmywarek gastronomicznych, usuwający kamień i rdzę, osady wapienne oraz inne osady mineralne powstałe podczas eksploatacj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 urządzeń. Nie niszczący powierz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chni ze stali nierdzewnej, glazury szkł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a. Preparat powinien nadawać się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do odkamieniania obiegów zamkniętych m.in wanien z hydromasażem. Pojemność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D694D" w:rsidRPr="00EA6A2D" w:rsidTr="005C455F">
        <w:trPr>
          <w:trHeight w:val="14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94D" w:rsidRPr="00EA6A2D" w:rsidRDefault="007D694D" w:rsidP="00EA6A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Koncentrat do mycia ręcznego oraz maszynowego twardych powierzchni podłogowych i wykładzin. Nie pozostawiający smug, służący do usuwania osadów mineralnych, takich jak wapń, rdza, osady cementowe, kamień i ślady soli, czyszczenia fug oraz wybielania powierzchni ze stali nierdzewnej i aluminium. Neutralizujący zanieczyszczenia alkaliczne i skutecznie usuwający osady wapnia</w:t>
            </w:r>
            <w:r w:rsidR="00162E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oraz soli.ph 0,5 -1,5. Wielkość</w:t>
            </w:r>
            <w:r w:rsidRPr="00EA6A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opakowania 5l.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162EDA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</w:t>
            </w:r>
            <w:r w:rsidR="007D694D"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A6A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4D" w:rsidRPr="00EA6A2D" w:rsidRDefault="007D694D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94D" w:rsidRPr="00EA6A2D" w:rsidRDefault="007D694D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8747B" w:rsidRPr="00EA6A2D" w:rsidTr="005C455F">
        <w:trPr>
          <w:trHeight w:val="55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B8747B" w:rsidRDefault="00B8747B" w:rsidP="00B874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B8747B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7B" w:rsidRPr="00EA6A2D" w:rsidRDefault="00B8747B" w:rsidP="00EA6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47B" w:rsidRPr="00EA6A2D" w:rsidRDefault="00B8747B" w:rsidP="00EA6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C29F8" w:rsidRDefault="007C29F8" w:rsidP="007C29F8">
      <w:pPr>
        <w:ind w:left="-426" w:firstLine="426"/>
        <w:rPr>
          <w:sz w:val="18"/>
          <w:szCs w:val="18"/>
        </w:rPr>
      </w:pPr>
    </w:p>
    <w:p w:rsidR="00485EC9" w:rsidRDefault="00485EC9" w:rsidP="007C29F8">
      <w:pPr>
        <w:ind w:left="-426" w:firstLine="426"/>
        <w:rPr>
          <w:sz w:val="18"/>
          <w:szCs w:val="18"/>
        </w:rPr>
      </w:pPr>
    </w:p>
    <w:p w:rsidR="00485EC9" w:rsidRDefault="00485EC9" w:rsidP="007C29F8">
      <w:pPr>
        <w:ind w:left="-426" w:firstLine="426"/>
        <w:rPr>
          <w:sz w:val="18"/>
          <w:szCs w:val="18"/>
        </w:rPr>
      </w:pPr>
    </w:p>
    <w:p w:rsidR="007C29F8" w:rsidRPr="00EB1621" w:rsidRDefault="007C29F8" w:rsidP="00EB1621">
      <w:pPr>
        <w:spacing w:after="0"/>
        <w:ind w:left="-426" w:firstLine="426"/>
        <w:rPr>
          <w:sz w:val="18"/>
          <w:szCs w:val="18"/>
          <w:u w:val="single"/>
        </w:rPr>
      </w:pPr>
      <w:r w:rsidRPr="00EB1621">
        <w:rPr>
          <w:sz w:val="18"/>
          <w:szCs w:val="18"/>
          <w:u w:val="single"/>
        </w:rPr>
        <w:lastRenderedPageBreak/>
        <w:t>Wymagania:</w:t>
      </w:r>
    </w:p>
    <w:p w:rsidR="007C29F8" w:rsidRDefault="007C29F8" w:rsidP="00EB1621">
      <w:pPr>
        <w:spacing w:after="0"/>
        <w:ind w:left="-426" w:firstLine="426"/>
        <w:rPr>
          <w:sz w:val="18"/>
          <w:szCs w:val="18"/>
        </w:rPr>
      </w:pPr>
      <w:r>
        <w:rPr>
          <w:sz w:val="18"/>
          <w:szCs w:val="18"/>
        </w:rPr>
        <w:t>Bezpłatne użyczenie oraz serwis na czas trwania umowy stacjonarnych</w:t>
      </w:r>
      <w:r w:rsidR="00E93C8B">
        <w:rPr>
          <w:sz w:val="18"/>
          <w:szCs w:val="18"/>
        </w:rPr>
        <w:t xml:space="preserve"> systemów dozujących w ilości 17</w:t>
      </w:r>
      <w:bookmarkStart w:id="0" w:name="_GoBack"/>
      <w:bookmarkEnd w:id="0"/>
      <w:r>
        <w:rPr>
          <w:sz w:val="18"/>
          <w:szCs w:val="18"/>
        </w:rPr>
        <w:t xml:space="preserve"> szt. ( Dozowniki montowane na ścianie, podłączone do instalacji wodnej przystosowane </w:t>
      </w:r>
      <w:r w:rsidR="00EB1621">
        <w:rPr>
          <w:sz w:val="18"/>
          <w:szCs w:val="18"/>
        </w:rPr>
        <w:t>do precyzyjnego dozowania 16 litrów na minutę, automatycznie przygotowujący roztwór dla 4 parametrów w stężeniu od 0,1% - 13%. Urządzenie powinno posiadać przycisk spustowy do dozowania z możliwością zablokowania. W komplecie powinny znajdować się zestawy końcówek o różnej średnicy przepływu, pozwalające na przygotowanie w/w roztworów.</w:t>
      </w:r>
      <w:r w:rsidR="008E71E6">
        <w:rPr>
          <w:sz w:val="18"/>
          <w:szCs w:val="18"/>
        </w:rPr>
        <w:t xml:space="preserve"> Stacjonarne systemy dozujące po zakończeniu umowy przejdą na własność  Zamawiającego.</w:t>
      </w:r>
    </w:p>
    <w:p w:rsidR="00EB1621" w:rsidRDefault="00EB1621" w:rsidP="00EB1621">
      <w:pPr>
        <w:spacing w:after="0"/>
        <w:ind w:left="-426" w:firstLine="426"/>
        <w:rPr>
          <w:sz w:val="18"/>
          <w:szCs w:val="18"/>
        </w:rPr>
      </w:pPr>
    </w:p>
    <w:p w:rsidR="00AD2D2D" w:rsidRPr="00ED0F8F" w:rsidRDefault="00AD2D2D" w:rsidP="00ED0F8F">
      <w:pPr>
        <w:spacing w:after="0" w:line="240" w:lineRule="auto"/>
        <w:rPr>
          <w:rFonts w:ascii="Book Antiqua" w:eastAsia="Times New Roman" w:hAnsi="Book Antiqua" w:cs="Times New Roman"/>
          <w:b/>
          <w:bCs/>
          <w:sz w:val="18"/>
          <w:szCs w:val="18"/>
          <w:lang w:eastAsia="pl-PL"/>
        </w:rPr>
      </w:pPr>
    </w:p>
    <w:p w:rsidR="00ED0F8F" w:rsidRPr="00ED0F8F" w:rsidRDefault="00ED0F8F" w:rsidP="00ED0F8F">
      <w:pPr>
        <w:pStyle w:val="Tekstpodstawowy21"/>
        <w:widowControl w:val="0"/>
        <w:spacing w:after="0" w:line="276" w:lineRule="auto"/>
        <w:ind w:firstLine="708"/>
        <w:rPr>
          <w:rFonts w:asciiTheme="minorHAnsi" w:hAnsiTheme="minorHAnsi"/>
          <w:sz w:val="18"/>
          <w:szCs w:val="18"/>
        </w:rPr>
      </w:pPr>
      <w:r w:rsidRPr="00ED0F8F">
        <w:rPr>
          <w:rFonts w:asciiTheme="minorHAnsi" w:hAnsiTheme="minorHAnsi"/>
          <w:sz w:val="18"/>
          <w:szCs w:val="18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„ dostawę </w:t>
      </w:r>
      <w:r>
        <w:rPr>
          <w:rFonts w:asciiTheme="minorHAnsi" w:hAnsiTheme="minorHAnsi"/>
          <w:sz w:val="18"/>
          <w:szCs w:val="18"/>
        </w:rPr>
        <w:t xml:space="preserve">środków do </w:t>
      </w:r>
      <w:r w:rsidR="009C5C69">
        <w:rPr>
          <w:rFonts w:asciiTheme="minorHAnsi" w:hAnsiTheme="minorHAnsi"/>
          <w:sz w:val="18"/>
          <w:szCs w:val="18"/>
        </w:rPr>
        <w:t>utrzymania czystości w</w:t>
      </w:r>
      <w:r w:rsidRPr="00ED0F8F">
        <w:rPr>
          <w:rFonts w:asciiTheme="minorHAnsi" w:hAnsiTheme="minorHAnsi"/>
          <w:sz w:val="18"/>
          <w:szCs w:val="18"/>
        </w:rPr>
        <w:t xml:space="preserve"> SP ZOZ w Krasnymstawie ”</w:t>
      </w:r>
    </w:p>
    <w:p w:rsidR="00ED0F8F" w:rsidRPr="00ED0F8F" w:rsidRDefault="00ED0F8F" w:rsidP="00ED0F8F">
      <w:pPr>
        <w:pStyle w:val="Tekstpodstawowy21"/>
        <w:widowControl w:val="0"/>
        <w:spacing w:after="0" w:line="276" w:lineRule="auto"/>
        <w:ind w:firstLine="708"/>
        <w:rPr>
          <w:rFonts w:asciiTheme="minorHAnsi" w:hAnsiTheme="minorHAnsi"/>
          <w:sz w:val="18"/>
          <w:szCs w:val="18"/>
        </w:rPr>
      </w:pPr>
      <w:r w:rsidRPr="00ED0F8F">
        <w:rPr>
          <w:rFonts w:asciiTheme="minorHAnsi" w:hAnsiTheme="minorHAnsi"/>
          <w:sz w:val="18"/>
          <w:szCs w:val="18"/>
        </w:rPr>
        <w:t>Oświadczam, że dane osobowe podaję dobrowolnie i zapoznałem(-</w:t>
      </w:r>
      <w:proofErr w:type="spellStart"/>
      <w:r w:rsidRPr="00ED0F8F">
        <w:rPr>
          <w:rFonts w:asciiTheme="minorHAnsi" w:hAnsiTheme="minorHAnsi"/>
          <w:sz w:val="18"/>
          <w:szCs w:val="18"/>
        </w:rPr>
        <w:t>am</w:t>
      </w:r>
      <w:proofErr w:type="spellEnd"/>
      <w:r w:rsidRPr="00ED0F8F">
        <w:rPr>
          <w:rFonts w:asciiTheme="minorHAnsi" w:hAnsiTheme="minorHAnsi"/>
          <w:sz w:val="18"/>
          <w:szCs w:val="18"/>
        </w:rPr>
        <w:t xml:space="preserve">) się z treścią klauzuli informacyjnej stanowiącej Załącznik Nr 2 do zapytania ofertowego w postępowaniu na „dostawę </w:t>
      </w:r>
      <w:r>
        <w:rPr>
          <w:rFonts w:asciiTheme="minorHAnsi" w:hAnsiTheme="minorHAnsi"/>
          <w:sz w:val="18"/>
          <w:szCs w:val="18"/>
        </w:rPr>
        <w:t xml:space="preserve">środków do </w:t>
      </w:r>
      <w:r w:rsidR="009C5C69">
        <w:rPr>
          <w:rFonts w:asciiTheme="minorHAnsi" w:hAnsiTheme="minorHAnsi"/>
          <w:sz w:val="18"/>
          <w:szCs w:val="18"/>
        </w:rPr>
        <w:t>utrzymania czystości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ED0F8F">
        <w:rPr>
          <w:rFonts w:asciiTheme="minorHAnsi" w:hAnsiTheme="minorHAnsi"/>
          <w:sz w:val="18"/>
          <w:szCs w:val="18"/>
        </w:rPr>
        <w:t xml:space="preserve"> SP ZOZ w Krasnymstawie”</w:t>
      </w:r>
      <w:r>
        <w:rPr>
          <w:rFonts w:asciiTheme="minorHAnsi" w:hAnsiTheme="minorHAnsi"/>
          <w:sz w:val="18"/>
          <w:szCs w:val="18"/>
        </w:rPr>
        <w:t xml:space="preserve"> </w:t>
      </w:r>
      <w:r w:rsidRPr="00ED0F8F">
        <w:rPr>
          <w:rFonts w:asciiTheme="minorHAnsi" w:hAnsiTheme="minorHAnsi"/>
          <w:sz w:val="18"/>
          <w:szCs w:val="18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Pr="00ED0F8F" w:rsidRDefault="00ED0F8F" w:rsidP="00ED0F8F">
      <w:pPr>
        <w:jc w:val="both"/>
        <w:rPr>
          <w:rFonts w:cs="Times New Roman"/>
          <w:sz w:val="18"/>
          <w:szCs w:val="18"/>
        </w:rPr>
      </w:pPr>
    </w:p>
    <w:p w:rsidR="00ED0F8F" w:rsidRDefault="00ED0F8F" w:rsidP="00ED0F8F">
      <w:pPr>
        <w:spacing w:after="0"/>
        <w:jc w:val="both"/>
        <w:rPr>
          <w:rFonts w:cs="Times New Roman"/>
          <w:bCs/>
          <w:sz w:val="18"/>
          <w:szCs w:val="18"/>
        </w:rPr>
      </w:pPr>
      <w:r w:rsidRPr="00ED0F8F">
        <w:rPr>
          <w:rFonts w:cs="Times New Roman"/>
          <w:bCs/>
          <w:sz w:val="18"/>
          <w:szCs w:val="18"/>
        </w:rPr>
        <w:t>Oświadczam, że wraz z ofertą składam następujące dokumenty:</w:t>
      </w:r>
    </w:p>
    <w:p w:rsidR="00ED0F8F" w:rsidRPr="00ED0F8F" w:rsidRDefault="00ED0F8F" w:rsidP="00ED0F8F">
      <w:pPr>
        <w:spacing w:after="0"/>
        <w:jc w:val="both"/>
        <w:rPr>
          <w:rFonts w:cs="Times New Roman"/>
          <w:bCs/>
          <w:sz w:val="18"/>
          <w:szCs w:val="18"/>
        </w:rPr>
      </w:pPr>
    </w:p>
    <w:p w:rsidR="00ED0F8F" w:rsidRP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……………………………………………………………..</w:t>
      </w:r>
    </w:p>
    <w:p w:rsidR="00ED0F8F" w:rsidRP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………………………………………………………………</w:t>
      </w:r>
    </w:p>
    <w:p w:rsidR="00ED0F8F" w:rsidRDefault="00ED0F8F" w:rsidP="00ED0F8F">
      <w:pPr>
        <w:ind w:left="360"/>
        <w:rPr>
          <w:rFonts w:cs="Tahoma"/>
          <w:sz w:val="18"/>
          <w:szCs w:val="18"/>
        </w:rPr>
      </w:pPr>
      <w:r w:rsidRPr="00ED0F8F">
        <w:rPr>
          <w:rFonts w:cs="Tahoma"/>
          <w:sz w:val="18"/>
          <w:szCs w:val="18"/>
        </w:rPr>
        <w:t>………………………………………………………………</w:t>
      </w:r>
    </w:p>
    <w:p w:rsidR="00AD2D2D" w:rsidRPr="00ED0F8F" w:rsidRDefault="00AD2D2D" w:rsidP="00ED0F8F">
      <w:pPr>
        <w:ind w:left="36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………………………………………………………………</w:t>
      </w:r>
    </w:p>
    <w:p w:rsidR="00ED0F8F" w:rsidRDefault="00ED0F8F" w:rsidP="00ED0F8F">
      <w:pPr>
        <w:rPr>
          <w:rFonts w:cs="Tahoma"/>
          <w:sz w:val="18"/>
          <w:szCs w:val="18"/>
        </w:rPr>
      </w:pPr>
    </w:p>
    <w:p w:rsidR="00332A3E" w:rsidRDefault="00332A3E" w:rsidP="00ED0F8F">
      <w:pPr>
        <w:rPr>
          <w:rFonts w:cs="Tahoma"/>
          <w:sz w:val="18"/>
          <w:szCs w:val="18"/>
        </w:rPr>
      </w:pPr>
    </w:p>
    <w:p w:rsidR="00332A3E" w:rsidRPr="00ED0F8F" w:rsidRDefault="00332A3E" w:rsidP="00ED0F8F">
      <w:pPr>
        <w:rPr>
          <w:rFonts w:cs="Tahoma"/>
          <w:sz w:val="18"/>
          <w:szCs w:val="18"/>
        </w:rPr>
      </w:pPr>
    </w:p>
    <w:p w:rsidR="00ED0F8F" w:rsidRPr="00ED0F8F" w:rsidRDefault="00ED0F8F" w:rsidP="00ED0F8F">
      <w:pPr>
        <w:spacing w:line="240" w:lineRule="auto"/>
        <w:jc w:val="both"/>
        <w:rPr>
          <w:sz w:val="18"/>
          <w:szCs w:val="18"/>
        </w:rPr>
      </w:pPr>
      <w:r w:rsidRPr="00ED0F8F">
        <w:rPr>
          <w:sz w:val="18"/>
          <w:szCs w:val="18"/>
        </w:rPr>
        <w:t>……………………………………………………………..</w:t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</w:r>
      <w:r w:rsidRPr="00ED0F8F">
        <w:rPr>
          <w:sz w:val="18"/>
          <w:szCs w:val="18"/>
        </w:rPr>
        <w:tab/>
        <w:t>……………………………………………………</w:t>
      </w:r>
    </w:p>
    <w:p w:rsidR="00ED0F8F" w:rsidRPr="00ED0F8F" w:rsidRDefault="00ED0F8F" w:rsidP="00ED0F8F">
      <w:pPr>
        <w:spacing w:line="240" w:lineRule="auto"/>
        <w:jc w:val="both"/>
        <w:rPr>
          <w:i/>
          <w:sz w:val="18"/>
          <w:szCs w:val="18"/>
        </w:rPr>
      </w:pPr>
      <w:r w:rsidRPr="00ED0F8F">
        <w:rPr>
          <w:sz w:val="18"/>
          <w:szCs w:val="18"/>
        </w:rPr>
        <w:tab/>
      </w:r>
      <w:r w:rsidRPr="00ED0F8F">
        <w:rPr>
          <w:i/>
          <w:sz w:val="18"/>
          <w:szCs w:val="18"/>
        </w:rPr>
        <w:t>Miejscowość i  data</w:t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</w:r>
      <w:r w:rsidRPr="00ED0F8F">
        <w:rPr>
          <w:i/>
          <w:sz w:val="18"/>
          <w:szCs w:val="18"/>
        </w:rPr>
        <w:tab/>
        <w:t>Podpis Wykonawcy</w:t>
      </w:r>
    </w:p>
    <w:p w:rsidR="00ED0F8F" w:rsidRPr="00ED0F8F" w:rsidRDefault="00ED0F8F" w:rsidP="00ED0F8F">
      <w:pPr>
        <w:rPr>
          <w:sz w:val="18"/>
          <w:szCs w:val="18"/>
        </w:rPr>
      </w:pPr>
    </w:p>
    <w:p w:rsidR="00EB1621" w:rsidRPr="007C29F8" w:rsidRDefault="00EB1621" w:rsidP="00EB1621">
      <w:pPr>
        <w:spacing w:after="0"/>
        <w:ind w:left="-426" w:firstLine="426"/>
        <w:rPr>
          <w:sz w:val="18"/>
          <w:szCs w:val="18"/>
        </w:rPr>
      </w:pPr>
    </w:p>
    <w:sectPr w:rsidR="00EB1621" w:rsidRPr="007C29F8" w:rsidSect="00EA6A2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66" w:rsidRDefault="00635A66" w:rsidP="00DD7373">
      <w:pPr>
        <w:spacing w:after="0" w:line="240" w:lineRule="auto"/>
      </w:pPr>
      <w:r>
        <w:separator/>
      </w:r>
    </w:p>
  </w:endnote>
  <w:endnote w:type="continuationSeparator" w:id="0">
    <w:p w:rsidR="00635A66" w:rsidRDefault="00635A66" w:rsidP="00D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66" w:rsidRDefault="00635A66" w:rsidP="00DD7373">
      <w:pPr>
        <w:spacing w:after="0" w:line="240" w:lineRule="auto"/>
      </w:pPr>
      <w:r>
        <w:separator/>
      </w:r>
    </w:p>
  </w:footnote>
  <w:footnote w:type="continuationSeparator" w:id="0">
    <w:p w:rsidR="00635A66" w:rsidRDefault="00635A66" w:rsidP="00DD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2D"/>
    <w:rsid w:val="000F28B6"/>
    <w:rsid w:val="00162EDA"/>
    <w:rsid w:val="00201CD0"/>
    <w:rsid w:val="002C30F1"/>
    <w:rsid w:val="00332A3E"/>
    <w:rsid w:val="00346114"/>
    <w:rsid w:val="004211CB"/>
    <w:rsid w:val="0045452C"/>
    <w:rsid w:val="00485EC9"/>
    <w:rsid w:val="004D28EB"/>
    <w:rsid w:val="0051586E"/>
    <w:rsid w:val="005A5881"/>
    <w:rsid w:val="005C455F"/>
    <w:rsid w:val="005D1279"/>
    <w:rsid w:val="006223E6"/>
    <w:rsid w:val="00635A66"/>
    <w:rsid w:val="00642DB9"/>
    <w:rsid w:val="00711F32"/>
    <w:rsid w:val="00727B44"/>
    <w:rsid w:val="007C29F8"/>
    <w:rsid w:val="007D694D"/>
    <w:rsid w:val="008E71E6"/>
    <w:rsid w:val="009837BA"/>
    <w:rsid w:val="009C5C69"/>
    <w:rsid w:val="00AD2D2D"/>
    <w:rsid w:val="00B11683"/>
    <w:rsid w:val="00B8747B"/>
    <w:rsid w:val="00C22029"/>
    <w:rsid w:val="00C67AC7"/>
    <w:rsid w:val="00DD7373"/>
    <w:rsid w:val="00E93C8B"/>
    <w:rsid w:val="00EA6A2D"/>
    <w:rsid w:val="00EA7A3C"/>
    <w:rsid w:val="00EB1621"/>
    <w:rsid w:val="00ED0F8F"/>
    <w:rsid w:val="00F33374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3"/>
  </w:style>
  <w:style w:type="paragraph" w:styleId="Stopka">
    <w:name w:val="footer"/>
    <w:basedOn w:val="Normalny"/>
    <w:link w:val="Stopka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3"/>
  </w:style>
  <w:style w:type="paragraph" w:styleId="Tekstdymka">
    <w:name w:val="Balloon Text"/>
    <w:basedOn w:val="Normalny"/>
    <w:link w:val="TekstdymkaZnak"/>
    <w:uiPriority w:val="99"/>
    <w:semiHidden/>
    <w:unhideWhenUsed/>
    <w:rsid w:val="0034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1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D0F8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D0F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D0F8F"/>
  </w:style>
  <w:style w:type="paragraph" w:customStyle="1" w:styleId="Styl1">
    <w:name w:val="Styl1"/>
    <w:basedOn w:val="Normalny"/>
    <w:qFormat/>
    <w:rsid w:val="00ED0F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3"/>
  </w:style>
  <w:style w:type="paragraph" w:styleId="Stopka">
    <w:name w:val="footer"/>
    <w:basedOn w:val="Normalny"/>
    <w:link w:val="StopkaZnak"/>
    <w:uiPriority w:val="99"/>
    <w:unhideWhenUsed/>
    <w:rsid w:val="00DD7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3"/>
  </w:style>
  <w:style w:type="paragraph" w:styleId="Tekstdymka">
    <w:name w:val="Balloon Text"/>
    <w:basedOn w:val="Normalny"/>
    <w:link w:val="TekstdymkaZnak"/>
    <w:uiPriority w:val="99"/>
    <w:semiHidden/>
    <w:unhideWhenUsed/>
    <w:rsid w:val="0034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11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D0F8F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D0F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D0F8F"/>
  </w:style>
  <w:style w:type="paragraph" w:customStyle="1" w:styleId="Styl1">
    <w:name w:val="Styl1"/>
    <w:basedOn w:val="Normalny"/>
    <w:qFormat/>
    <w:rsid w:val="00ED0F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16</cp:revision>
  <cp:lastPrinted>2025-01-15T07:53:00Z</cp:lastPrinted>
  <dcterms:created xsi:type="dcterms:W3CDTF">2024-11-28T07:24:00Z</dcterms:created>
  <dcterms:modified xsi:type="dcterms:W3CDTF">2025-01-15T08:07:00Z</dcterms:modified>
</cp:coreProperties>
</file>