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1B33A40E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B64E94">
        <w:rPr>
          <w:rFonts w:ascii="Book Antiqua" w:hAnsi="Book Antiqua"/>
          <w:b/>
          <w:sz w:val="22"/>
          <w:szCs w:val="22"/>
          <w:lang w:val="en-US"/>
        </w:rPr>
        <w:t>1</w:t>
      </w:r>
      <w:r w:rsidR="003B12ED">
        <w:rPr>
          <w:rFonts w:ascii="Book Antiqua" w:hAnsi="Book Antiqua"/>
          <w:b/>
          <w:sz w:val="22"/>
          <w:szCs w:val="22"/>
          <w:lang w:val="en-US"/>
        </w:rPr>
        <w:t>4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403554C0" w:rsidR="00080CB5" w:rsidRPr="00BF4B60" w:rsidRDefault="00B64E94" w:rsidP="00080CB5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Krasnystaw </w:t>
      </w:r>
      <w:r w:rsidR="003B12ED">
        <w:rPr>
          <w:rFonts w:ascii="Book Antiqua" w:hAnsi="Book Antiqua"/>
          <w:sz w:val="22"/>
          <w:szCs w:val="22"/>
        </w:rPr>
        <w:t>lipiec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023E2A6" w:rsidR="002915BD" w:rsidRPr="00CB7447" w:rsidRDefault="000C02A8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3FFEAEB8" w14:textId="77777777" w:rsidR="003B12ED" w:rsidRPr="003B12ED" w:rsidRDefault="003B12ED" w:rsidP="003B12ED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B12ED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2881968C" w14:textId="77777777" w:rsidR="003B12ED" w:rsidRDefault="003B12ED" w:rsidP="003B12ED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5284F">
        <w:rPr>
          <w:rFonts w:ascii="Book Antiqua" w:hAnsi="Book Antiqua"/>
          <w:b/>
          <w:sz w:val="22"/>
          <w:szCs w:val="22"/>
        </w:rPr>
        <w:t xml:space="preserve">Kierowanie Oddziałem </w:t>
      </w:r>
      <w:r w:rsidRPr="003B12ED">
        <w:rPr>
          <w:rFonts w:ascii="Book Antiqua" w:hAnsi="Book Antiqua"/>
          <w:b/>
          <w:sz w:val="22"/>
          <w:szCs w:val="22"/>
        </w:rPr>
        <w:t>Pediatrycznym</w:t>
      </w:r>
      <w:r w:rsidRPr="00E5284F">
        <w:rPr>
          <w:rFonts w:ascii="Book Antiqua" w:hAnsi="Book Antiqua"/>
          <w:b/>
          <w:sz w:val="22"/>
          <w:szCs w:val="22"/>
        </w:rPr>
        <w:t xml:space="preserve"> z jednoczesną opieką medyczną nad pacjentami w ramach normalnej ordynacji, kierowanie personelem medycznym, planowanie pracy zespołu i nadzór nad innymi lekarzami</w:t>
      </w:r>
      <w:r w:rsidRPr="003B12ED">
        <w:rPr>
          <w:rFonts w:ascii="Book Antiqua" w:hAnsi="Book Antiqua"/>
          <w:b/>
          <w:sz w:val="22"/>
          <w:szCs w:val="22"/>
        </w:rPr>
        <w:t xml:space="preserve"> </w:t>
      </w:r>
      <w:r w:rsidRPr="00E5284F">
        <w:rPr>
          <w:rFonts w:ascii="Book Antiqua" w:hAnsi="Book Antiqua"/>
          <w:b/>
          <w:sz w:val="22"/>
          <w:szCs w:val="22"/>
        </w:rPr>
        <w:t>w Oddziale</w:t>
      </w:r>
      <w:r w:rsidRPr="003B12ED">
        <w:rPr>
          <w:rFonts w:ascii="Book Antiqua" w:hAnsi="Book Antiqua"/>
          <w:b/>
          <w:sz w:val="22"/>
          <w:szCs w:val="22"/>
        </w:rPr>
        <w:t xml:space="preserve"> Pediatrycznym</w:t>
      </w:r>
      <w:r w:rsidRPr="00E5284F">
        <w:rPr>
          <w:rFonts w:ascii="Book Antiqua" w:hAnsi="Book Antiqua"/>
          <w:b/>
          <w:sz w:val="22"/>
          <w:szCs w:val="22"/>
        </w:rPr>
        <w:t>, zgodnie z ustalonym harmonogramem udzielania świadczeń zdrowotnych w dni robocze w godzinach od 08:00 do godziny 15:30</w:t>
      </w:r>
      <w:r w:rsidRPr="003B12ED">
        <w:rPr>
          <w:rFonts w:ascii="Book Antiqua" w:hAnsi="Book Antiqua"/>
          <w:b/>
          <w:sz w:val="22"/>
          <w:szCs w:val="22"/>
        </w:rPr>
        <w:t>.</w:t>
      </w:r>
    </w:p>
    <w:p w14:paraId="7C2FBF49" w14:textId="465135C4" w:rsidR="004C5611" w:rsidRPr="004C5611" w:rsidRDefault="004C5611" w:rsidP="003B12ED">
      <w:pPr>
        <w:spacing w:line="276" w:lineRule="auto"/>
        <w:jc w:val="both"/>
        <w:rPr>
          <w:rFonts w:ascii="Book Antiqua" w:hAnsi="Book Antiqua"/>
          <w:b/>
          <w:i/>
          <w:iCs/>
          <w:sz w:val="22"/>
          <w:szCs w:val="22"/>
          <w:u w:val="single"/>
        </w:rPr>
      </w:pPr>
      <w:r w:rsidRPr="004C5611">
        <w:rPr>
          <w:rFonts w:ascii="Book Antiqua" w:hAnsi="Book Antiqua"/>
          <w:b/>
          <w:sz w:val="22"/>
          <w:szCs w:val="22"/>
          <w:u w:val="single"/>
        </w:rPr>
        <w:t>W przypadku złożenia w ofercie wynagrodzenia ryczałtowego za jeden miesiąc udzielania świadczeń zdrowotnych w dni robocze od poniedziałku do piątku w godzinach od 08:00 do godziny 15:30, każda nieobecność w dni robocze będzie proporcjonalnie pomniejszała wysokość tego wynagrodzenia ryczałtowego.</w:t>
      </w:r>
    </w:p>
    <w:p w14:paraId="0E793A33" w14:textId="77777777" w:rsidR="003B12ED" w:rsidRPr="003B12ED" w:rsidRDefault="003B12ED" w:rsidP="003B12ED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B12ED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5BBA78FD" w14:textId="77777777" w:rsidR="003B12ED" w:rsidRPr="003B12ED" w:rsidRDefault="003B12ED" w:rsidP="003B12ED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B12ED">
        <w:rPr>
          <w:rFonts w:ascii="Book Antiqua" w:hAnsi="Book Antiqua"/>
          <w:b/>
          <w:sz w:val="22"/>
          <w:szCs w:val="22"/>
        </w:rPr>
        <w:t>-Pełnienie dyżuru medycznego w Oddziale Pediatrycznym oraz w części neonatologicznej Oddziału Położniczo-Ginekologiczno-Neonatologicznego</w:t>
      </w:r>
    </w:p>
    <w:p w14:paraId="1BC0602C" w14:textId="77777777" w:rsidR="003B12ED" w:rsidRPr="003B12ED" w:rsidRDefault="003B12ED" w:rsidP="003B12ED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B12ED">
        <w:rPr>
          <w:rFonts w:ascii="Book Antiqua" w:hAnsi="Book Antiqua"/>
          <w:b/>
          <w:sz w:val="22"/>
          <w:szCs w:val="22"/>
        </w:rPr>
        <w:t xml:space="preserve">  a) w dni powszednie w wymiarze 16 godz.30 min., tj. od godz.15.30 do godz.8.00 dnia następnego</w:t>
      </w:r>
    </w:p>
    <w:p w14:paraId="3E363ECB" w14:textId="77777777" w:rsidR="003B12ED" w:rsidRPr="003B12ED" w:rsidRDefault="003B12ED" w:rsidP="003B12ED">
      <w:pPr>
        <w:jc w:val="both"/>
        <w:rPr>
          <w:rFonts w:ascii="Book Antiqua" w:hAnsi="Book Antiqua"/>
          <w:b/>
          <w:sz w:val="22"/>
          <w:szCs w:val="22"/>
        </w:rPr>
      </w:pPr>
      <w:r w:rsidRPr="003B12ED">
        <w:rPr>
          <w:rFonts w:ascii="Book Antiqua" w:hAnsi="Book Antiqua"/>
          <w:b/>
          <w:sz w:val="22"/>
          <w:szCs w:val="22"/>
        </w:rPr>
        <w:t xml:space="preserve">  b) w soboty, niedziele i święta w wymiarze 24 godz., tj. od godz.8.00 do godz.8.00 dnia następnego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268BC8E3" w14:textId="6D3337C0" w:rsidR="00395545" w:rsidRPr="00515CEE" w:rsidRDefault="00515CEE" w:rsidP="00515CEE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</w:t>
      </w:r>
      <w:r w:rsidR="0081169A">
        <w:rPr>
          <w:rFonts w:ascii="Book Antiqua" w:hAnsi="Book Antiqua"/>
          <w:sz w:val="22"/>
          <w:szCs w:val="22"/>
        </w:rPr>
        <w:t>ciowych w zakresie zadania 1,2,</w:t>
      </w:r>
      <w:r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5138F789" w:rsidR="00FC7D4D" w:rsidRPr="003F1072" w:rsidRDefault="00FC7D4D" w:rsidP="003F1072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  <w:r w:rsidR="003F1072">
        <w:rPr>
          <w:rFonts w:ascii="Book Antiqua" w:hAnsi="Book Antiqua" w:cs="Arial"/>
          <w:sz w:val="22"/>
          <w:szCs w:val="22"/>
        </w:rPr>
        <w:t xml:space="preserve"> </w:t>
      </w:r>
      <w:r w:rsidR="003F1072">
        <w:rPr>
          <w:rFonts w:ascii="Book Antiqua" w:hAnsi="Book Antiqua" w:cs="Arial"/>
          <w:sz w:val="22"/>
          <w:szCs w:val="22"/>
        </w:rPr>
        <w:t>( Dotyczy osób niezwiązanych umową z Udzielającym Zamówienie po 15 lutym 2024r)</w:t>
      </w:r>
    </w:p>
    <w:p w14:paraId="2A3138D2" w14:textId="360E3A54" w:rsidR="001F5CDA" w:rsidRPr="003F1072" w:rsidRDefault="001F5CDA" w:rsidP="003F1072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  <w:r w:rsidR="003F1072">
        <w:rPr>
          <w:rFonts w:ascii="Book Antiqua" w:hAnsi="Book Antiqua" w:cs="Arial"/>
          <w:sz w:val="22"/>
          <w:szCs w:val="22"/>
        </w:rPr>
        <w:t xml:space="preserve"> </w:t>
      </w:r>
      <w:r w:rsidR="003F1072">
        <w:rPr>
          <w:rFonts w:ascii="Book Antiqua" w:hAnsi="Book Antiqua" w:cs="Arial"/>
          <w:sz w:val="22"/>
          <w:szCs w:val="22"/>
        </w:rPr>
        <w:t>( Dotyczy osób niezwiązanych umową z Udzielającym Zamówienie po 15 lutym 2024r)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5FC9B683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</w:t>
      </w:r>
      <w:r w:rsidR="003B12ED">
        <w:rPr>
          <w:rFonts w:ascii="Book Antiqua" w:hAnsi="Book Antiqua" w:cs="Arial"/>
          <w:iCs/>
          <w:sz w:val="22"/>
          <w:szCs w:val="22"/>
        </w:rPr>
        <w:t xml:space="preserve">Pediatrycznym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1A612FD9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B64E94">
        <w:rPr>
          <w:rFonts w:ascii="Book Antiqua" w:hAnsi="Book Antiqua"/>
          <w:b/>
          <w:sz w:val="22"/>
          <w:szCs w:val="22"/>
        </w:rPr>
        <w:t>2</w:t>
      </w:r>
      <w:r w:rsidR="003F1072">
        <w:rPr>
          <w:rFonts w:ascii="Book Antiqua" w:hAnsi="Book Antiqua"/>
          <w:b/>
          <w:sz w:val="22"/>
          <w:szCs w:val="22"/>
        </w:rPr>
        <w:t>8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64E94">
        <w:rPr>
          <w:rFonts w:ascii="Book Antiqua" w:hAnsi="Book Antiqua"/>
          <w:b/>
          <w:sz w:val="22"/>
          <w:szCs w:val="22"/>
        </w:rPr>
        <w:t>0</w:t>
      </w:r>
      <w:r w:rsidR="003B12ED">
        <w:rPr>
          <w:rFonts w:ascii="Book Antiqua" w:hAnsi="Book Antiqua"/>
          <w:b/>
          <w:sz w:val="22"/>
          <w:szCs w:val="22"/>
        </w:rPr>
        <w:t>7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22DACE1A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 xml:space="preserve">w Oddziale </w:t>
      </w:r>
      <w:r w:rsidR="003B12ED">
        <w:rPr>
          <w:rFonts w:ascii="Book Antiqua" w:hAnsi="Book Antiqua"/>
          <w:i/>
          <w:sz w:val="22"/>
          <w:szCs w:val="22"/>
        </w:rPr>
        <w:t>Pediatrycznym</w:t>
      </w:r>
    </w:p>
    <w:p w14:paraId="05E45C7F" w14:textId="45F2ED8D" w:rsidR="00BB35D3" w:rsidRPr="00EC4D3A" w:rsidRDefault="00B64E94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3F1072">
        <w:rPr>
          <w:rFonts w:ascii="Book Antiqua" w:hAnsi="Book Antiqua"/>
          <w:i/>
          <w:sz w:val="22"/>
          <w:szCs w:val="22"/>
        </w:rPr>
        <w:t>28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</w:t>
      </w:r>
      <w:r w:rsidR="003B12ED">
        <w:rPr>
          <w:rFonts w:ascii="Book Antiqua" w:hAnsi="Book Antiqua"/>
          <w:i/>
          <w:sz w:val="22"/>
          <w:szCs w:val="22"/>
        </w:rPr>
        <w:t>7</w:t>
      </w:r>
      <w:r w:rsidR="00624291">
        <w:rPr>
          <w:rFonts w:ascii="Book Antiqua" w:hAnsi="Book Antiqua"/>
          <w:i/>
          <w:sz w:val="22"/>
          <w:szCs w:val="22"/>
        </w:rPr>
        <w:t>.2025</w:t>
      </w:r>
      <w:r w:rsidR="00395545">
        <w:rPr>
          <w:rFonts w:ascii="Book Antiqua" w:hAnsi="Book Antiqua"/>
          <w:i/>
          <w:sz w:val="22"/>
          <w:szCs w:val="22"/>
        </w:rPr>
        <w:t xml:space="preserve"> r. godz. 11:00”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39AE522A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B64E94">
        <w:rPr>
          <w:rFonts w:ascii="Book Antiqua" w:hAnsi="Book Antiqua"/>
          <w:b/>
          <w:sz w:val="22"/>
          <w:szCs w:val="22"/>
        </w:rPr>
        <w:t>2</w:t>
      </w:r>
      <w:r w:rsidR="003F1072">
        <w:rPr>
          <w:rFonts w:ascii="Book Antiqua" w:hAnsi="Book Antiqua"/>
          <w:b/>
          <w:sz w:val="22"/>
          <w:szCs w:val="22"/>
        </w:rPr>
        <w:t>8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3F1072">
        <w:rPr>
          <w:rFonts w:ascii="Book Antiqua" w:hAnsi="Book Antiqua"/>
          <w:b/>
          <w:sz w:val="22"/>
          <w:szCs w:val="22"/>
        </w:rPr>
        <w:t>07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53C91BBC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7F4C6D">
        <w:rPr>
          <w:rFonts w:ascii="Book Antiqua" w:hAnsi="Book Antiqua"/>
          <w:sz w:val="22"/>
          <w:szCs w:val="22"/>
        </w:rPr>
        <w:t xml:space="preserve"> </w:t>
      </w:r>
      <w:r w:rsidR="003B12ED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2B82A985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3B12ED">
        <w:rPr>
          <w:rFonts w:ascii="Book Antiqua" w:hAnsi="Book Antiqua"/>
          <w:sz w:val="22"/>
          <w:szCs w:val="22"/>
        </w:rPr>
        <w:t xml:space="preserve">ryczałtowej za jeden miesiąc udzielania świadczeń zdrowotnych oraz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3B12ED">
        <w:rPr>
          <w:rFonts w:ascii="Book Antiqua" w:hAnsi="Book Antiqua"/>
          <w:sz w:val="22"/>
          <w:szCs w:val="22"/>
        </w:rPr>
        <w:t xml:space="preserve"> w ramach dyżuru medycznego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5A9322EF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B64E94">
        <w:rPr>
          <w:rFonts w:ascii="Book Antiqua" w:hAnsi="Book Antiqua"/>
          <w:b/>
          <w:sz w:val="22"/>
          <w:szCs w:val="22"/>
        </w:rPr>
        <w:t>0</w:t>
      </w:r>
      <w:r w:rsidR="003B12ED">
        <w:rPr>
          <w:rFonts w:ascii="Book Antiqua" w:hAnsi="Book Antiqua"/>
          <w:b/>
          <w:sz w:val="22"/>
          <w:szCs w:val="22"/>
        </w:rPr>
        <w:t>8</w:t>
      </w:r>
      <w:r w:rsidR="00B64E94">
        <w:rPr>
          <w:rFonts w:ascii="Book Antiqua" w:hAnsi="Book Antiqua"/>
          <w:b/>
          <w:sz w:val="22"/>
          <w:szCs w:val="22"/>
        </w:rPr>
        <w:t>.2025r. do dnia 3</w:t>
      </w:r>
      <w:r w:rsidR="003B12ED">
        <w:rPr>
          <w:rFonts w:ascii="Book Antiqua" w:hAnsi="Book Antiqua"/>
          <w:b/>
          <w:sz w:val="22"/>
          <w:szCs w:val="22"/>
        </w:rPr>
        <w:t>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B64E94">
        <w:rPr>
          <w:rFonts w:ascii="Book Antiqua" w:hAnsi="Book Antiqua"/>
          <w:b/>
          <w:sz w:val="22"/>
          <w:szCs w:val="22"/>
        </w:rPr>
        <w:t>0</w:t>
      </w:r>
      <w:r w:rsidR="003B12ED">
        <w:rPr>
          <w:rFonts w:ascii="Book Antiqua" w:hAnsi="Book Antiqua"/>
          <w:b/>
          <w:sz w:val="22"/>
          <w:szCs w:val="22"/>
        </w:rPr>
        <w:t>7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60EEA00F" w14:textId="77777777" w:rsidR="0081169A" w:rsidRDefault="0081169A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</w:p>
    <w:p w14:paraId="3D7F3B16" w14:textId="77777777" w:rsidR="0081169A" w:rsidRDefault="0081169A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bookmarkStart w:id="0" w:name="_GoBack"/>
      <w:r>
        <w:rPr>
          <w:rFonts w:ascii="Book Antiqua" w:hAnsi="Book Antiqua"/>
          <w:sz w:val="18"/>
          <w:szCs w:val="18"/>
        </w:rPr>
        <w:t>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3F1072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3F1072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5B7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615E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12E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1072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A7773"/>
    <w:rsid w:val="004B04C5"/>
    <w:rsid w:val="004B53AD"/>
    <w:rsid w:val="004B609A"/>
    <w:rsid w:val="004C0932"/>
    <w:rsid w:val="004C1927"/>
    <w:rsid w:val="004C2F37"/>
    <w:rsid w:val="004C47B3"/>
    <w:rsid w:val="004C4DB5"/>
    <w:rsid w:val="004C5611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5CEE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4FEF"/>
    <w:rsid w:val="006E503E"/>
    <w:rsid w:val="006E517D"/>
    <w:rsid w:val="006E5B46"/>
    <w:rsid w:val="006E798F"/>
    <w:rsid w:val="006F1115"/>
    <w:rsid w:val="006F419C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4C6D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169A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4E94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48E0-2D67-45B6-92FB-E0DE7F53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7</Pages>
  <Words>2418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27</cp:revision>
  <cp:lastPrinted>2025-07-21T10:15:00Z</cp:lastPrinted>
  <dcterms:created xsi:type="dcterms:W3CDTF">2024-11-26T15:11:00Z</dcterms:created>
  <dcterms:modified xsi:type="dcterms:W3CDTF">2025-07-21T10:15:00Z</dcterms:modified>
</cp:coreProperties>
</file>